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E162FE" w:rsidRPr="000060A5" w14:paraId="150D77A5" w14:textId="77777777" w:rsidTr="00C70901">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49451778" w:rsidR="005F37DA" w:rsidRPr="009E16B1" w:rsidRDefault="007179D9"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EndPr/>
                                    <w:sdtContent>
                                      <w:r w:rsidR="00DB3ED2">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5A53B736" w:rsidR="005F37DA" w:rsidRPr="009E16B1" w:rsidRDefault="007179D9"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EndPr/>
                                    <w:sdtContent>
                                      <w:r w:rsidR="008D4AA5">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2E9C1B40" w:rsidR="005F37DA" w:rsidRPr="009E16B1" w:rsidRDefault="007179D9"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EndPr/>
                                    <w:sdtContent>
                                      <w:r w:rsidR="00565A37">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7179D9"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4248EFFD" w:rsidR="005F37DA"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EndPr/>
                                    <w:sdtContent>
                                      <w:r w:rsidR="00E030AE">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59C42809" w:rsidR="005F37DA"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1"/>
                                        <w14:checkedState w14:val="2612" w14:font="MS Gothic"/>
                                        <w14:uncheckedState w14:val="2610" w14:font="MS Gothic"/>
                                      </w14:checkbox>
                                    </w:sdtPr>
                                    <w:sdtEndPr/>
                                    <w:sdtContent>
                                      <w:r w:rsidR="00565A37">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3A62B400" w:rsidR="005F37D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1"/>
                                        <w14:checkedState w14:val="2612" w14:font="MS Gothic"/>
                                        <w14:uncheckedState w14:val="2610" w14:font="MS Gothic"/>
                                      </w14:checkbox>
                                    </w:sdtPr>
                                    <w:sdtEndPr/>
                                    <w:sdtContent>
                                      <w:r w:rsidR="00E030AE">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14E8E203" w14:textId="449FAC9C" w:rsidR="0074746D" w:rsidRDefault="007179D9"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EndPr/>
                                    <w:sdtContent>
                                      <w:r w:rsidR="00CD4E83">
                                        <w:rPr>
                                          <w:rFonts w:ascii="MS Gothic" w:eastAsia="MS Gothic" w:hAnsi="MS Gothic" w:cs="Calibri" w:hint="eastAsia"/>
                                          <w:sz w:val="16"/>
                                          <w:szCs w:val="16"/>
                                        </w:rPr>
                                        <w:t>☒</w:t>
                                      </w:r>
                                    </w:sdtContent>
                                  </w:sdt>
                                  <w:r w:rsidR="003C1CCA" w:rsidRPr="009E16B1">
                                    <w:rPr>
                                      <w:rFonts w:cs="Calibri"/>
                                      <w:sz w:val="16"/>
                                      <w:szCs w:val="16"/>
                                    </w:rPr>
                                    <w:t xml:space="preserve"> </w:t>
                                  </w:r>
                                  <w:r w:rsidR="0074746D">
                                    <w:rPr>
                                      <w:rFonts w:cs="Calibri"/>
                                      <w:sz w:val="16"/>
                                      <w:szCs w:val="16"/>
                                    </w:rPr>
                                    <w:t>2025</w:t>
                                  </w:r>
                                </w:p>
                                <w:p w14:paraId="7955E3E9" w14:textId="56244497" w:rsidR="0074746D" w:rsidRDefault="007179D9" w:rsidP="0074746D">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24257209"/>
                                      <w14:checkbox>
                                        <w14:checked w14:val="0"/>
                                        <w14:checkedState w14:val="2612" w14:font="MS Gothic"/>
                                        <w14:uncheckedState w14:val="2610" w14:font="MS Gothic"/>
                                      </w14:checkbox>
                                    </w:sdtPr>
                                    <w:sdtEndPr/>
                                    <w:sdtContent>
                                      <w:r w:rsidR="0074746D">
                                        <w:rPr>
                                          <w:rFonts w:ascii="MS Gothic" w:eastAsia="MS Gothic" w:hAnsi="MS Gothic" w:cs="Calibri" w:hint="eastAsia"/>
                                          <w:sz w:val="16"/>
                                          <w:szCs w:val="16"/>
                                        </w:rPr>
                                        <w:t>☐</w:t>
                                      </w:r>
                                    </w:sdtContent>
                                  </w:sdt>
                                  <w:r w:rsidR="0074746D" w:rsidRPr="009E16B1">
                                    <w:rPr>
                                      <w:rFonts w:cs="Calibri"/>
                                      <w:sz w:val="16"/>
                                      <w:szCs w:val="16"/>
                                    </w:rPr>
                                    <w:t xml:space="preserve"> </w:t>
                                  </w:r>
                                  <w:r w:rsidR="0074746D">
                                    <w:rPr>
                                      <w:rFonts w:cs="Calibri"/>
                                      <w:sz w:val="16"/>
                                      <w:szCs w:val="16"/>
                                    </w:rPr>
                                    <w:t>2024</w:t>
                                  </w:r>
                                </w:p>
                                <w:p w14:paraId="74A101F7" w14:textId="75645F8A" w:rsidR="003C1CCA" w:rsidRDefault="007179D9"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End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7F472CA4" w14:textId="49B8D2D8" w:rsidR="005F37DA" w:rsidRPr="006B7196"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EndPr/>
                                    <w:sdtContent>
                                      <w:r w:rsidR="0034519E">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5D148036" w:rsidR="005F37DA"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1"/>
                                        <w14:checkedState w14:val="2612" w14:font="MS Gothic"/>
                                        <w14:uncheckedState w14:val="2610" w14:font="MS Gothic"/>
                                      </w14:checkbox>
                                    </w:sdtPr>
                                    <w:sdtEndPr/>
                                    <w:sdtContent>
                                      <w:r w:rsidR="00CD4E83">
                                        <w:rPr>
                                          <w:rFonts w:ascii="MS Gothic" w:eastAsia="MS Gothic" w:hAnsi="MS Gothic" w:cs="Calibri" w:hint="eastAsia"/>
                                          <w:sz w:val="16"/>
                                          <w:szCs w:val="16"/>
                                        </w:rPr>
                                        <w:t>☒</w:t>
                                      </w:r>
                                    </w:sdtContent>
                                  </w:sdt>
                                  <w:r w:rsidR="005F37DA" w:rsidRPr="006B7196">
                                    <w:rPr>
                                      <w:rFonts w:cs="Calibri"/>
                                      <w:sz w:val="16"/>
                                      <w:szCs w:val="16"/>
                                    </w:rPr>
                                    <w:t xml:space="preserve"> </w:t>
                                  </w:r>
                                  <w:r w:rsidR="00CD4E83">
                                    <w:rPr>
                                      <w:rFonts w:cs="Calibri"/>
                                      <w:sz w:val="16"/>
                                      <w:szCs w:val="16"/>
                                    </w:rPr>
                                    <w:t>Verkenning</w:t>
                                  </w:r>
                                </w:p>
                                <w:p w14:paraId="58C48BA1" w14:textId="26EFF519" w:rsidR="005F37DA" w:rsidRPr="006B7196" w:rsidRDefault="007179D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q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dTe9mYzRxtE3Gs+k4jcAm1+fGOv9VQE2CkFOLvES4&#10;2HHjPKZE17NLyOZAVcW6UioqYRbESllyZMii8rFIfPGbl9Kkyen08ySNgTWE511kpTHBtakg+XbX&#10;9p3uoDghABa62XCGrysscsOcf2EWhwEbwwH3z3hIBZgEeomSEuzPv90Hf+QIrZQ0OFw5dT8OzApK&#10;1DeN7N0PxwEvH5Xx5G6Eir217G4t+lCvADsf4ioZHsXg79VZlBbqN9yDZciKJqY55s6pP4sr3408&#10;7hEXy2V0wvkzzG/01vAQOiAdKHht35g1PU8eKX6C8xiy7B1dnW94qWF58CCryGUAuEO1xx1nN1Lc&#10;71lYjls9el3/BotfAAAA//8DAFBLAwQUAAYACAAAACEA5CCGkOQAAAAMAQAADwAAAGRycy9kb3du&#10;cmV2LnhtbEyPy2rDMBBF94X8g5hAN8WRH0kdXMuhlD4gu8Z90J1iTWwTSzKWYrt/3+mq3c0whzvn&#10;5rtZd2zEwbXWCIhWITA0lVWtqQW8lU/BFpjz0ijZWYMCvtHBrlhc5TJTdjKvOB58zSjEuEwKaLzv&#10;M85d1aCWbmV7NHQ72UFLT+tQczXIicJ1x+MwvOVatoY+NLLHhwar8+GiBXzd1J97Nz+/T8km6R9f&#10;xjL9UKUQ18v5/g6Yx9n/wfCrT+pQkNPRXoxyrBMQJOE6IpamOEqAERLEmxTYUcB2HafAi5z/L1H8&#10;AAAA//8DAFBLAQItABQABgAIAAAAIQC2gziS/gAAAOEBAAATAAAAAAAAAAAAAAAAAAAAAABbQ29u&#10;dGVudF9UeXBlc10ueG1sUEsBAi0AFAAGAAgAAAAhADj9If/WAAAAlAEAAAsAAAAAAAAAAAAAAAAA&#10;LwEAAF9yZWxzLy5yZWxzUEsBAi0AFAAGAAgAAAAhALP9cqotAgAAVQQAAA4AAAAAAAAAAAAAAAAA&#10;LgIAAGRycy9lMm9Eb2MueG1sUEsBAi0AFAAGAAgAAAAhAOQghpDkAAAADAEAAA8AAAAAAAAAAAAA&#10;AAAAhwQAAGRycy9kb3ducmV2LnhtbFBLBQYAAAAABAAEAPMAAACYBQ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49451778" w:rsidR="005F37DA" w:rsidRPr="009E16B1" w:rsidRDefault="00000000"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Content>
                                <w:r w:rsidR="00DB3ED2">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5A53B736" w:rsidR="005F37DA" w:rsidRPr="009E16B1" w:rsidRDefault="00000000"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Content>
                                <w:r w:rsidR="008D4AA5">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2E9C1B40" w:rsidR="005F37DA" w:rsidRPr="009E16B1" w:rsidRDefault="00000000"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Content>
                                <w:r w:rsidR="00565A37">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000000"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4248EFFD"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E030AE">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59C4280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1"/>
                                  <w14:checkedState w14:val="2612" w14:font="MS Gothic"/>
                                  <w14:uncheckedState w14:val="2610" w14:font="MS Gothic"/>
                                </w14:checkbox>
                              </w:sdtPr>
                              <w:sdtContent>
                                <w:r w:rsidR="00565A37">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3A62B400"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1"/>
                                  <w14:checkedState w14:val="2612" w14:font="MS Gothic"/>
                                  <w14:uncheckedState w14:val="2610" w14:font="MS Gothic"/>
                                </w14:checkbox>
                              </w:sdtPr>
                              <w:sdtContent>
                                <w:r w:rsidR="00E030AE">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14E8E203" w14:textId="449FAC9C" w:rsidR="0074746D"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CD4E83">
                                  <w:rPr>
                                    <w:rFonts w:ascii="MS Gothic" w:eastAsia="MS Gothic" w:hAnsi="MS Gothic" w:cs="Calibri" w:hint="eastAsia"/>
                                    <w:sz w:val="16"/>
                                    <w:szCs w:val="16"/>
                                  </w:rPr>
                                  <w:t>☒</w:t>
                                </w:r>
                              </w:sdtContent>
                            </w:sdt>
                            <w:r w:rsidR="003C1CCA" w:rsidRPr="009E16B1">
                              <w:rPr>
                                <w:rFonts w:cs="Calibri"/>
                                <w:sz w:val="16"/>
                                <w:szCs w:val="16"/>
                              </w:rPr>
                              <w:t xml:space="preserve"> </w:t>
                            </w:r>
                            <w:r w:rsidR="0074746D">
                              <w:rPr>
                                <w:rFonts w:cs="Calibri"/>
                                <w:sz w:val="16"/>
                                <w:szCs w:val="16"/>
                              </w:rPr>
                              <w:t>2025</w:t>
                            </w:r>
                          </w:p>
                          <w:p w14:paraId="7955E3E9" w14:textId="56244497" w:rsidR="0074746D" w:rsidRDefault="00000000" w:rsidP="0074746D">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24257209"/>
                                <w14:checkbox>
                                  <w14:checked w14:val="0"/>
                                  <w14:checkedState w14:val="2612" w14:font="MS Gothic"/>
                                  <w14:uncheckedState w14:val="2610" w14:font="MS Gothic"/>
                                </w14:checkbox>
                              </w:sdtPr>
                              <w:sdtContent>
                                <w:r w:rsidR="0074746D">
                                  <w:rPr>
                                    <w:rFonts w:ascii="MS Gothic" w:eastAsia="MS Gothic" w:hAnsi="MS Gothic" w:cs="Calibri" w:hint="eastAsia"/>
                                    <w:sz w:val="16"/>
                                    <w:szCs w:val="16"/>
                                  </w:rPr>
                                  <w:t>☐</w:t>
                                </w:r>
                              </w:sdtContent>
                            </w:sdt>
                            <w:r w:rsidR="0074746D" w:rsidRPr="009E16B1">
                              <w:rPr>
                                <w:rFonts w:cs="Calibri"/>
                                <w:sz w:val="16"/>
                                <w:szCs w:val="16"/>
                              </w:rPr>
                              <w:t xml:space="preserve"> </w:t>
                            </w:r>
                            <w:r w:rsidR="0074746D">
                              <w:rPr>
                                <w:rFonts w:cs="Calibri"/>
                                <w:sz w:val="16"/>
                                <w:szCs w:val="16"/>
                              </w:rPr>
                              <w:t>2024</w:t>
                            </w:r>
                          </w:p>
                          <w:p w14:paraId="74A101F7" w14:textId="75645F8A"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7F472CA4" w14:textId="49B8D2D8"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34519E">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5D14803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1"/>
                                  <w14:checkedState w14:val="2612" w14:font="MS Gothic"/>
                                  <w14:uncheckedState w14:val="2610" w14:font="MS Gothic"/>
                                </w14:checkbox>
                              </w:sdtPr>
                              <w:sdtContent>
                                <w:r w:rsidR="00CD4E83">
                                  <w:rPr>
                                    <w:rFonts w:ascii="MS Gothic" w:eastAsia="MS Gothic" w:hAnsi="MS Gothic" w:cs="Calibri" w:hint="eastAsia"/>
                                    <w:sz w:val="16"/>
                                    <w:szCs w:val="16"/>
                                  </w:rPr>
                                  <w:t>☒</w:t>
                                </w:r>
                              </w:sdtContent>
                            </w:sdt>
                            <w:r w:rsidR="005F37DA" w:rsidRPr="006B7196">
                              <w:rPr>
                                <w:rFonts w:cs="Calibri"/>
                                <w:sz w:val="16"/>
                                <w:szCs w:val="16"/>
                              </w:rPr>
                              <w:t xml:space="preserve"> </w:t>
                            </w:r>
                            <w:r w:rsidR="00CD4E83">
                              <w:rPr>
                                <w:rFonts w:cs="Calibri"/>
                                <w:sz w:val="16"/>
                                <w:szCs w:val="16"/>
                              </w:rPr>
                              <w:t>Verkenning</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C70901">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49216C26" w:rsidR="00E162FE" w:rsidRPr="000060A5" w:rsidRDefault="00587F66" w:rsidP="007B1820">
            <w:pPr>
              <w:widowControl w:val="0"/>
              <w:autoSpaceDE w:val="0"/>
              <w:autoSpaceDN w:val="0"/>
              <w:adjustRightInd w:val="0"/>
              <w:ind w:left="311" w:right="113"/>
              <w:textAlignment w:val="center"/>
              <w:rPr>
                <w:rFonts w:cs="Calibri"/>
                <w:sz w:val="20"/>
                <w:szCs w:val="20"/>
              </w:rPr>
            </w:pPr>
            <w:r>
              <w:rPr>
                <w:rFonts w:cs="Calibri"/>
                <w:sz w:val="20"/>
                <w:szCs w:val="20"/>
              </w:rPr>
              <w:t xml:space="preserve">De beroepshavo. Een verkennend onderzoek </w:t>
            </w:r>
          </w:p>
        </w:tc>
      </w:tr>
      <w:tr w:rsidR="00E162FE" w:rsidRPr="000060A5" w14:paraId="0894C4FB" w14:textId="77777777" w:rsidTr="00202790">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7FED64DD" w:rsidR="00E162FE" w:rsidRPr="000060A5" w:rsidRDefault="00F9233E" w:rsidP="007B1820">
            <w:pPr>
              <w:widowControl w:val="0"/>
              <w:autoSpaceDE w:val="0"/>
              <w:autoSpaceDN w:val="0"/>
              <w:adjustRightInd w:val="0"/>
              <w:ind w:left="311" w:right="113"/>
              <w:textAlignment w:val="center"/>
              <w:rPr>
                <w:rFonts w:cs="Calibri"/>
                <w:sz w:val="20"/>
                <w:szCs w:val="20"/>
              </w:rPr>
            </w:pPr>
            <w:r w:rsidRPr="00F9233E">
              <w:rPr>
                <w:rFonts w:cs="Calibri"/>
                <w:sz w:val="20"/>
                <w:szCs w:val="20"/>
              </w:rPr>
              <w:t>Doorn</w:t>
            </w:r>
            <w:r w:rsidR="00587F66">
              <w:rPr>
                <w:rFonts w:cs="Calibri"/>
                <w:sz w:val="20"/>
                <w:szCs w:val="20"/>
              </w:rPr>
              <w:t>, M.</w:t>
            </w:r>
            <w:r w:rsidR="003560AC">
              <w:rPr>
                <w:rFonts w:cs="Calibri"/>
                <w:sz w:val="20"/>
                <w:szCs w:val="20"/>
              </w:rPr>
              <w:t xml:space="preserve"> </w:t>
            </w:r>
            <w:r w:rsidR="00587F66">
              <w:rPr>
                <w:rFonts w:cs="Calibri"/>
                <w:sz w:val="20"/>
                <w:szCs w:val="20"/>
              </w:rPr>
              <w:t xml:space="preserve">van, </w:t>
            </w:r>
            <w:r w:rsidRPr="00F9233E">
              <w:rPr>
                <w:rFonts w:cs="Calibri"/>
                <w:sz w:val="20"/>
                <w:szCs w:val="20"/>
              </w:rPr>
              <w:t>Groos</w:t>
            </w:r>
            <w:r w:rsidR="00587F66">
              <w:rPr>
                <w:rFonts w:cs="Calibri"/>
                <w:sz w:val="20"/>
                <w:szCs w:val="20"/>
              </w:rPr>
              <w:t>, J.</w:t>
            </w:r>
            <w:r w:rsidR="00B63B81">
              <w:rPr>
                <w:rFonts w:cs="Calibri"/>
                <w:sz w:val="20"/>
                <w:szCs w:val="20"/>
              </w:rPr>
              <w:t>,</w:t>
            </w:r>
            <w:r w:rsidR="00587F66">
              <w:rPr>
                <w:rFonts w:cs="Calibri"/>
                <w:sz w:val="20"/>
                <w:szCs w:val="20"/>
              </w:rPr>
              <w:t xml:space="preserve"> </w:t>
            </w:r>
            <w:r w:rsidRPr="00F9233E">
              <w:rPr>
                <w:rFonts w:cs="Calibri"/>
                <w:sz w:val="20"/>
                <w:szCs w:val="20"/>
              </w:rPr>
              <w:t>Bokda</w:t>
            </w:r>
            <w:r w:rsidR="00587F66">
              <w:rPr>
                <w:rFonts w:cs="Calibri"/>
                <w:sz w:val="20"/>
                <w:szCs w:val="20"/>
              </w:rPr>
              <w:t>m, J. (2025)</w:t>
            </w:r>
            <w:r w:rsidR="008D4AA5">
              <w:rPr>
                <w:rFonts w:cs="Calibri"/>
                <w:sz w:val="20"/>
                <w:szCs w:val="20"/>
              </w:rPr>
              <w:t>. Oberon</w:t>
            </w:r>
          </w:p>
        </w:tc>
      </w:tr>
      <w:tr w:rsidR="00BD6D53" w:rsidRPr="000060A5" w14:paraId="215C167A" w14:textId="77777777" w:rsidTr="00202790">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1238A875" w14:textId="2D92BB34" w:rsidR="00BD6D53" w:rsidRDefault="00B32B0A" w:rsidP="007B1820">
            <w:pPr>
              <w:widowControl w:val="0"/>
              <w:autoSpaceDE w:val="0"/>
              <w:autoSpaceDN w:val="0"/>
              <w:adjustRightInd w:val="0"/>
              <w:ind w:left="311" w:right="113"/>
              <w:textAlignment w:val="center"/>
              <w:rPr>
                <w:rFonts w:cs="Calibri"/>
                <w:sz w:val="20"/>
                <w:szCs w:val="20"/>
              </w:rPr>
            </w:pPr>
            <w:hyperlink r:id="rId11" w:history="1">
              <w:r>
                <w:rPr>
                  <w:rStyle w:val="Hyperlink"/>
                  <w:rFonts w:cs="Calibri"/>
                  <w:sz w:val="20"/>
                  <w:szCs w:val="20"/>
                </w:rPr>
                <w:t>https://www.rijksoverheid.nl/de-beroepshavo-verkennend-onderzoek</w:t>
              </w:r>
            </w:hyperlink>
          </w:p>
          <w:p w14:paraId="42A3CF7F" w14:textId="52039390" w:rsidR="00B32B0A" w:rsidRPr="000060A5" w:rsidRDefault="00B32B0A" w:rsidP="00B32B0A">
            <w:pPr>
              <w:widowControl w:val="0"/>
              <w:autoSpaceDE w:val="0"/>
              <w:autoSpaceDN w:val="0"/>
              <w:adjustRightInd w:val="0"/>
              <w:ind w:right="113"/>
              <w:textAlignment w:val="center"/>
              <w:rPr>
                <w:rFonts w:cs="Calibri"/>
                <w:sz w:val="20"/>
                <w:szCs w:val="20"/>
              </w:rPr>
            </w:pPr>
          </w:p>
        </w:tc>
      </w:tr>
      <w:tr w:rsidR="00E162FE" w:rsidRPr="000060A5" w14:paraId="3161388A" w14:textId="77777777" w:rsidTr="00202790">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EB3AE0">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206B967E" w14:textId="77777777" w:rsidR="00565A37" w:rsidRDefault="002C4D3C" w:rsidP="002C4D3C">
            <w:pPr>
              <w:widowControl w:val="0"/>
              <w:autoSpaceDE w:val="0"/>
              <w:autoSpaceDN w:val="0"/>
              <w:adjustRightInd w:val="0"/>
              <w:ind w:left="311" w:right="113"/>
              <w:textAlignment w:val="center"/>
              <w:rPr>
                <w:rFonts w:cs="Calibri-Bold"/>
                <w:bCs/>
                <w:color w:val="000000"/>
                <w:sz w:val="20"/>
                <w:szCs w:val="20"/>
              </w:rPr>
            </w:pPr>
            <w:r w:rsidRPr="002C4D3C">
              <w:rPr>
                <w:rFonts w:cs="Calibri-Bold"/>
                <w:bCs/>
                <w:color w:val="000000"/>
                <w:sz w:val="20"/>
                <w:szCs w:val="20"/>
              </w:rPr>
              <w:t xml:space="preserve">De beroepshavo is een mbo-opleiding waarbij studenten de mogelijkheid krijgen om vakken op havoniveau te volgen en daarna ook deelexamens voor die havo-vakken af te leggen om certificaten te halen. Met de keuzedelen ‘voorbereiding havo’ kunnen havo-vakken een structurele plek binnen mbo-opleidingen krijgen. Het behalen van deze keuzedelen heeft volgens veel gesproken beroepshavo-aanbieders toegevoegde waarde voor een goede doorstroom naar het hbo, omdat het studenten voorbereidt op het meer abstracte aanbod en gevraagde schriftelijke vaardigheden van het hbo vergeleken met het mbo. Deze havo-keuzedelen kunnen in principe in alle niveau 4 opleidingen aangeboden worden, maar het aanbod is ongelijk verdeeld over regio’s en sectoren. De meeste van de ongeveer 25 beroepshavo-opleidingen richten zich op de betere mbo-studenten die wat extra willen tijdens hun opleiding. Een klein deel richt zich op de vmbo’ers waarvoor een vervolg op de havo onverstandig is, maar die ook nog niet weten welke (beroeps)richting ze willen kiezen. Het grootste deel van de beroepshavo’s behelst een bestaand kwalificatiedossier met een nieuw havo-keuzedeel. De beroepshavo-variant van het ROC van Amsterdam daarentegen behelst een aangepast kwalificatiedossier en onderwijsconcept. De term ‘beroepshavo’ wordt soms bewust ingezet als een middel om het imago van de mbo-route naar het hbo te versterken. Maar de meest voorkomende motivatie voor het faciliteren van havo-aanbod in een mbo-opleiding is om de doelgroep van ambitieuze mbo-studenten te bedienen, met het beroepshavo-concept van het </w:t>
            </w:r>
            <w:proofErr w:type="spellStart"/>
            <w:r w:rsidRPr="002C4D3C">
              <w:rPr>
                <w:rFonts w:cs="Calibri-Bold"/>
                <w:bCs/>
                <w:color w:val="000000"/>
                <w:sz w:val="20"/>
                <w:szCs w:val="20"/>
              </w:rPr>
              <w:t>ROCvA</w:t>
            </w:r>
            <w:proofErr w:type="spellEnd"/>
            <w:r w:rsidRPr="002C4D3C">
              <w:rPr>
                <w:rFonts w:cs="Calibri-Bold"/>
                <w:bCs/>
                <w:color w:val="000000"/>
                <w:sz w:val="20"/>
                <w:szCs w:val="20"/>
              </w:rPr>
              <w:t xml:space="preserve"> als noemenswaardige uitzondering. Deze subpopulatie van mbo-studenten haalt, zoals te verwachten valt, vaak hun mbo. De mate waarin beroepshavo-studenten uiteindelijk ook havo-certificaten halen lijkt echter zeer wisselend. Ons inziens is het desalniettemin positief als mbo-instellingen erin slagen om dit aanbod te faciliteren, en middels dit aanbod de ontwikkeling van mbo-</w:t>
            </w:r>
            <w:r w:rsidRPr="002C4D3C">
              <w:rPr>
                <w:rFonts w:cs="Calibri-Bold"/>
                <w:bCs/>
                <w:color w:val="000000"/>
                <w:sz w:val="20"/>
                <w:szCs w:val="20"/>
              </w:rPr>
              <w:lastRenderedPageBreak/>
              <w:t xml:space="preserve">studenten dan wel vmbo-t geslaagden positief weet te beïnvloeden. Op praktisch niveau worstelen instellingen soms met de complexe logistiek van het inpassen van de havo-vakken in mbo-roosters, met name in combinatie met stages, en het duurzaam faciliteren van het aanbod, ook omdat studenten soms na verloop van tijd afhaken. Daarnaast zijn er financiële en wettelijke drempels, zoals de leeftijdsgrens van 18 jaar voor deelname aan </w:t>
            </w:r>
            <w:proofErr w:type="spellStart"/>
            <w:r w:rsidRPr="002C4D3C">
              <w:rPr>
                <w:rFonts w:cs="Calibri-Bold"/>
                <w:bCs/>
                <w:color w:val="000000"/>
                <w:sz w:val="20"/>
                <w:szCs w:val="20"/>
              </w:rPr>
              <w:t>vavo</w:t>
            </w:r>
            <w:proofErr w:type="spellEnd"/>
            <w:r w:rsidRPr="002C4D3C">
              <w:rPr>
                <w:rFonts w:cs="Calibri-Bold"/>
                <w:bCs/>
                <w:color w:val="000000"/>
                <w:sz w:val="20"/>
                <w:szCs w:val="20"/>
              </w:rPr>
              <w:t xml:space="preserve">-examens. We proeven bij gesprekspartners echter enthousiasme om de beroepshavo te blijven aanbieden en ontwikkelen. </w:t>
            </w:r>
          </w:p>
          <w:p w14:paraId="7373DDF1" w14:textId="77777777" w:rsidR="00565A37" w:rsidRDefault="00565A37" w:rsidP="002C4D3C">
            <w:pPr>
              <w:widowControl w:val="0"/>
              <w:autoSpaceDE w:val="0"/>
              <w:autoSpaceDN w:val="0"/>
              <w:adjustRightInd w:val="0"/>
              <w:ind w:left="311" w:right="113"/>
              <w:textAlignment w:val="center"/>
              <w:rPr>
                <w:rFonts w:cs="Calibri-Bold"/>
                <w:bCs/>
                <w:color w:val="000000"/>
                <w:sz w:val="20"/>
                <w:szCs w:val="20"/>
              </w:rPr>
            </w:pPr>
          </w:p>
          <w:p w14:paraId="5B254790" w14:textId="5A791DAA" w:rsidR="002C4D3C" w:rsidRDefault="002C4D3C" w:rsidP="002C4D3C">
            <w:pPr>
              <w:widowControl w:val="0"/>
              <w:autoSpaceDE w:val="0"/>
              <w:autoSpaceDN w:val="0"/>
              <w:adjustRightInd w:val="0"/>
              <w:ind w:left="311" w:right="113"/>
              <w:textAlignment w:val="center"/>
              <w:rPr>
                <w:rFonts w:cs="Calibri-Bold"/>
                <w:bCs/>
                <w:color w:val="000000"/>
                <w:sz w:val="20"/>
                <w:szCs w:val="20"/>
              </w:rPr>
            </w:pPr>
            <w:r w:rsidRPr="002C4D3C">
              <w:rPr>
                <w:rFonts w:cs="Calibri-Bold"/>
                <w:bCs/>
                <w:color w:val="000000"/>
                <w:sz w:val="20"/>
                <w:szCs w:val="20"/>
              </w:rPr>
              <w:t>We begonnen dit verkennende onderzoek naar de beroepshavo tegen de achtergrond van het groeiend aantal ongediplomeerde havisten die naar het mbo gaan en daar voor een deel vertrekken zonder mbo-diploma (zie hoofdstuk 1). Het effect van de beroepshavo op deze ontwikkelingen lijkt vooralsnog klein. Het aantal ongediplomeerde havisten dat jaarlijks naar een beroepshavo gaat is minder dan 200, naar schatting een kwart van de 600 tot 800 studenten die zich aanmelden voor een beroepshavo. De groei van het aantal ongediplomeerde havisten dat instroomt in het mbo van 3.500 naar 7.000 kan dus nauwelijks verklaard worden door instroom in de beroepshavo. Ook omdat de meeste beroepshavo’s zich niet richten op deze doelgroep maar op de ambitieuze mbo-student die zich beter wil voorbereiden op het hbo is de beroepshavo vooralsnog dus noch antwoord op, noch een aanjager van de problematiek van de ongediplomeerde havo-uitval.</w:t>
            </w:r>
          </w:p>
          <w:p w14:paraId="255873A6" w14:textId="77777777" w:rsidR="002C4D3C" w:rsidRDefault="002C4D3C" w:rsidP="002C4D3C">
            <w:pPr>
              <w:widowControl w:val="0"/>
              <w:autoSpaceDE w:val="0"/>
              <w:autoSpaceDN w:val="0"/>
              <w:adjustRightInd w:val="0"/>
              <w:ind w:left="311" w:right="113"/>
              <w:textAlignment w:val="center"/>
              <w:rPr>
                <w:rFonts w:cs="Calibri-Bold"/>
                <w:bCs/>
                <w:color w:val="000000"/>
                <w:sz w:val="20"/>
                <w:szCs w:val="20"/>
              </w:rPr>
            </w:pPr>
          </w:p>
          <w:p w14:paraId="4B7D366F" w14:textId="3246A499" w:rsidR="002C4D3C" w:rsidRPr="002C4D3C" w:rsidRDefault="002C4D3C" w:rsidP="002C4D3C">
            <w:pPr>
              <w:widowControl w:val="0"/>
              <w:autoSpaceDE w:val="0"/>
              <w:autoSpaceDN w:val="0"/>
              <w:adjustRightInd w:val="0"/>
              <w:ind w:left="311" w:right="113"/>
              <w:textAlignment w:val="center"/>
              <w:rPr>
                <w:rFonts w:cs="Calibri-Bold"/>
                <w:bCs/>
                <w:color w:val="000000"/>
                <w:sz w:val="20"/>
                <w:szCs w:val="20"/>
              </w:rPr>
            </w:pPr>
            <w:r w:rsidRPr="002C4D3C">
              <w:rPr>
                <w:rFonts w:cs="Calibri-Bold"/>
                <w:bCs/>
                <w:color w:val="000000"/>
                <w:sz w:val="20"/>
                <w:szCs w:val="20"/>
              </w:rPr>
              <w:t>Een tweede conclusie is dat er een kennishiaat bestaat over de specifieke groep ongediplomeerde</w:t>
            </w:r>
            <w:r>
              <w:rPr>
                <w:rFonts w:cs="Calibri-Bold"/>
                <w:bCs/>
                <w:color w:val="000000"/>
                <w:sz w:val="20"/>
                <w:szCs w:val="20"/>
              </w:rPr>
              <w:t xml:space="preserve"> </w:t>
            </w:r>
            <w:r w:rsidRPr="002C4D3C">
              <w:rPr>
                <w:rFonts w:cs="Calibri-Bold"/>
                <w:bCs/>
                <w:color w:val="000000"/>
                <w:sz w:val="20"/>
                <w:szCs w:val="20"/>
              </w:rPr>
              <w:t>havisten die in het mbo uitvalt. Hierdoor blijft de effectiviteit van mogelijke oplossingen, waaronder</w:t>
            </w:r>
            <w:r>
              <w:rPr>
                <w:rFonts w:cs="Calibri-Bold"/>
                <w:bCs/>
                <w:color w:val="000000"/>
                <w:sz w:val="20"/>
                <w:szCs w:val="20"/>
              </w:rPr>
              <w:t xml:space="preserve"> </w:t>
            </w:r>
            <w:r w:rsidRPr="002C4D3C">
              <w:rPr>
                <w:rFonts w:cs="Calibri-Bold"/>
                <w:bCs/>
                <w:color w:val="000000"/>
                <w:sz w:val="20"/>
                <w:szCs w:val="20"/>
              </w:rPr>
              <w:t>de</w:t>
            </w:r>
            <w:r>
              <w:rPr>
                <w:rFonts w:cs="Calibri-Bold"/>
                <w:bCs/>
                <w:color w:val="000000"/>
                <w:sz w:val="20"/>
                <w:szCs w:val="20"/>
              </w:rPr>
              <w:t xml:space="preserve"> </w:t>
            </w:r>
            <w:r w:rsidRPr="002C4D3C">
              <w:rPr>
                <w:rFonts w:cs="Calibri-Bold"/>
                <w:bCs/>
                <w:color w:val="000000"/>
                <w:sz w:val="20"/>
                <w:szCs w:val="20"/>
              </w:rPr>
              <w:t>beroepshavo, voor deze groep onduidelijk. Dit leidt direct tot de belangrijkste aanbeveling, zoals we nu</w:t>
            </w:r>
            <w:r>
              <w:rPr>
                <w:rFonts w:cs="Calibri-Bold"/>
                <w:bCs/>
                <w:color w:val="000000"/>
                <w:sz w:val="20"/>
                <w:szCs w:val="20"/>
              </w:rPr>
              <w:t xml:space="preserve"> </w:t>
            </w:r>
            <w:r w:rsidRPr="002C4D3C">
              <w:rPr>
                <w:rFonts w:cs="Calibri-Bold"/>
                <w:bCs/>
                <w:color w:val="000000"/>
                <w:sz w:val="20"/>
                <w:szCs w:val="20"/>
              </w:rPr>
              <w:t>zullen bespreken: gericht onderzoek naar de kenmerken, motieven en schoolloopbanen van havo-uitstromers.</w:t>
            </w:r>
          </w:p>
          <w:p w14:paraId="42EC3294" w14:textId="77777777" w:rsidR="00BD6D53" w:rsidRPr="000060A5" w:rsidRDefault="00BD6D53" w:rsidP="007B1820">
            <w:pPr>
              <w:widowControl w:val="0"/>
              <w:autoSpaceDE w:val="0"/>
              <w:autoSpaceDN w:val="0"/>
              <w:adjustRightInd w:val="0"/>
              <w:ind w:left="311" w:right="113"/>
              <w:textAlignment w:val="center"/>
              <w:rPr>
                <w:rFonts w:cs="Calibri-Bold"/>
                <w:bCs/>
                <w:color w:val="000000"/>
                <w:sz w:val="20"/>
                <w:szCs w:val="20"/>
              </w:rPr>
            </w:pPr>
          </w:p>
        </w:tc>
      </w:tr>
      <w:tr w:rsidR="00BD6D53" w:rsidRPr="000060A5" w14:paraId="44915C67" w14:textId="77777777" w:rsidTr="00202790">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26594A">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kun je uit het onderzoek meenemen naar de LOB-praktijk?</w:t>
            </w:r>
          </w:p>
        </w:tc>
        <w:tc>
          <w:tcPr>
            <w:tcW w:w="8670" w:type="dxa"/>
            <w:tcBorders>
              <w:top w:val="single" w:sz="4" w:space="0" w:color="auto"/>
              <w:bottom w:val="single" w:sz="4" w:space="0" w:color="auto"/>
            </w:tcBorders>
            <w:shd w:val="clear" w:color="auto" w:fill="EFBFDF"/>
          </w:tcPr>
          <w:tbl>
            <w:tblPr>
              <w:tblW w:w="0" w:type="auto"/>
              <w:tblCellSpacing w:w="0" w:type="dxa"/>
              <w:tblCellMar>
                <w:left w:w="0" w:type="dxa"/>
                <w:right w:w="0" w:type="dxa"/>
              </w:tblCellMar>
              <w:tblLook w:val="04A0" w:firstRow="1" w:lastRow="0" w:firstColumn="1" w:lastColumn="0" w:noHBand="0" w:noVBand="1"/>
            </w:tblPr>
            <w:tblGrid>
              <w:gridCol w:w="8670"/>
            </w:tblGrid>
            <w:tr w:rsidR="00743718" w:rsidRPr="00743718" w14:paraId="663AE518" w14:textId="77777777">
              <w:trPr>
                <w:tblCellSpacing w:w="0" w:type="dxa"/>
              </w:trPr>
              <w:tc>
                <w:tcPr>
                  <w:tcW w:w="0" w:type="auto"/>
                  <w:tcMar>
                    <w:top w:w="0" w:type="dxa"/>
                    <w:left w:w="142" w:type="dxa"/>
                    <w:bottom w:w="0" w:type="dxa"/>
                    <w:right w:w="142" w:type="dxa"/>
                  </w:tcMar>
                  <w:hideMark/>
                </w:tcPr>
                <w:p w14:paraId="257F0C3D" w14:textId="0BBB3B4D" w:rsidR="00743718" w:rsidRDefault="00743718" w:rsidP="007179D9">
                  <w:pPr>
                    <w:framePr w:hSpace="142" w:wrap="around" w:vAnchor="text" w:hAnchor="page" w:x="4842" w:y="675"/>
                    <w:widowControl w:val="0"/>
                    <w:autoSpaceDE w:val="0"/>
                    <w:autoSpaceDN w:val="0"/>
                    <w:adjustRightInd w:val="0"/>
                    <w:ind w:right="113"/>
                    <w:textAlignment w:val="center"/>
                    <w:rPr>
                      <w:rFonts w:cs="Calibri"/>
                      <w:sz w:val="20"/>
                      <w:szCs w:val="20"/>
                    </w:rPr>
                  </w:pPr>
                  <w:r w:rsidRPr="00743718">
                    <w:rPr>
                      <w:rFonts w:cs="Calibri"/>
                      <w:i/>
                      <w:iCs/>
                      <w:sz w:val="20"/>
                      <w:szCs w:val="20"/>
                    </w:rPr>
                    <w:t>Mbo-routes waarderen</w:t>
                  </w:r>
                  <w:r w:rsidRPr="00743718">
                    <w:rPr>
                      <w:rFonts w:cs="Calibri"/>
                      <w:i/>
                      <w:iCs/>
                      <w:sz w:val="20"/>
                      <w:szCs w:val="20"/>
                    </w:rPr>
                    <w:br/>
                  </w:r>
                  <w:r w:rsidR="00F22678" w:rsidRPr="00F22678">
                    <w:rPr>
                      <w:rFonts w:cs="Calibri"/>
                      <w:sz w:val="20"/>
                      <w:szCs w:val="20"/>
                    </w:rPr>
                    <w:t>De beroepshavo in het mbo is vooral gericht op ambitieuze (v)mbo-studenten. Het is doorgaans een mbo-opleiding waarbij studenten de mogelijkheid krijgen om vakken op havoniveau te volgen en daar certificaten voor te halen, in voorbereiding op het hbo. Vmbo-t-geslaagden kunnen veel baat hebben bij dit specifieke aanbod, het mbo biedt voor sommige jongeren een passender leerklimaat dan de havo. Presenteer de beroepshavo voor hen als een volwaardig alternatief voor stapelen naar de havo.</w:t>
                  </w:r>
                </w:p>
                <w:p w14:paraId="01A74829" w14:textId="77777777" w:rsidR="00F65058" w:rsidRDefault="00F65058" w:rsidP="007179D9">
                  <w:pPr>
                    <w:framePr w:hSpace="142" w:wrap="around" w:vAnchor="text" w:hAnchor="page" w:x="4842" w:y="675"/>
                    <w:widowControl w:val="0"/>
                    <w:autoSpaceDE w:val="0"/>
                    <w:autoSpaceDN w:val="0"/>
                    <w:adjustRightInd w:val="0"/>
                    <w:ind w:right="113"/>
                    <w:textAlignment w:val="center"/>
                    <w:rPr>
                      <w:rFonts w:cs="Calibri"/>
                      <w:i/>
                      <w:iCs/>
                      <w:sz w:val="20"/>
                      <w:szCs w:val="20"/>
                    </w:rPr>
                  </w:pPr>
                </w:p>
                <w:p w14:paraId="6CC2E3BD" w14:textId="0E919F81" w:rsidR="00F65058" w:rsidRPr="00F65058" w:rsidRDefault="00F65058" w:rsidP="007179D9">
                  <w:pPr>
                    <w:framePr w:hSpace="142" w:wrap="around" w:vAnchor="text" w:hAnchor="page" w:x="4842" w:y="675"/>
                    <w:widowControl w:val="0"/>
                    <w:autoSpaceDE w:val="0"/>
                    <w:autoSpaceDN w:val="0"/>
                    <w:adjustRightInd w:val="0"/>
                    <w:ind w:right="113"/>
                    <w:textAlignment w:val="center"/>
                    <w:rPr>
                      <w:rFonts w:cs="Calibri"/>
                      <w:i/>
                      <w:iCs/>
                      <w:sz w:val="20"/>
                      <w:szCs w:val="20"/>
                    </w:rPr>
                  </w:pPr>
                  <w:r w:rsidRPr="00F65058">
                    <w:rPr>
                      <w:rFonts w:cs="Calibri"/>
                      <w:i/>
                      <w:iCs/>
                      <w:sz w:val="20"/>
                      <w:szCs w:val="20"/>
                    </w:rPr>
                    <w:t>Samen ongediplomeerde havo</w:t>
                  </w:r>
                  <w:r w:rsidR="00003AB9">
                    <w:rPr>
                      <w:rFonts w:cs="Calibri"/>
                      <w:i/>
                      <w:iCs/>
                      <w:sz w:val="20"/>
                      <w:szCs w:val="20"/>
                    </w:rPr>
                    <w:t>-</w:t>
                  </w:r>
                  <w:proofErr w:type="spellStart"/>
                  <w:r w:rsidRPr="00F65058">
                    <w:rPr>
                      <w:rFonts w:cs="Calibri"/>
                      <w:i/>
                      <w:iCs/>
                      <w:sz w:val="20"/>
                      <w:szCs w:val="20"/>
                    </w:rPr>
                    <w:t>verlaters</w:t>
                  </w:r>
                  <w:proofErr w:type="spellEnd"/>
                  <w:r w:rsidRPr="00F65058">
                    <w:rPr>
                      <w:rFonts w:cs="Calibri"/>
                      <w:i/>
                      <w:iCs/>
                      <w:sz w:val="20"/>
                      <w:szCs w:val="20"/>
                    </w:rPr>
                    <w:t xml:space="preserve"> ondersteunen</w:t>
                  </w:r>
                </w:p>
                <w:p w14:paraId="410493E0" w14:textId="1437D9E2" w:rsidR="00F65058" w:rsidRPr="00BE46CA" w:rsidRDefault="00F65058" w:rsidP="007179D9">
                  <w:pPr>
                    <w:framePr w:hSpace="142" w:wrap="around" w:vAnchor="text" w:hAnchor="page" w:x="4842" w:y="675"/>
                    <w:widowControl w:val="0"/>
                    <w:autoSpaceDE w:val="0"/>
                    <w:autoSpaceDN w:val="0"/>
                    <w:adjustRightInd w:val="0"/>
                    <w:ind w:right="113"/>
                    <w:textAlignment w:val="center"/>
                    <w:rPr>
                      <w:rFonts w:cs="Calibri"/>
                      <w:sz w:val="20"/>
                      <w:szCs w:val="20"/>
                    </w:rPr>
                  </w:pPr>
                  <w:r w:rsidRPr="00F65058">
                    <w:rPr>
                      <w:rFonts w:cs="Calibri"/>
                      <w:sz w:val="20"/>
                      <w:szCs w:val="20"/>
                    </w:rPr>
                    <w:lastRenderedPageBreak/>
                    <w:t xml:space="preserve">Een goede samenwerking tussen havo-scholen en mbo-scholen kan de overstap van deze groep </w:t>
                  </w:r>
                  <w:r w:rsidR="002B29C3">
                    <w:rPr>
                      <w:rFonts w:cs="Calibri"/>
                      <w:sz w:val="20"/>
                      <w:szCs w:val="20"/>
                    </w:rPr>
                    <w:t>versoepelen</w:t>
                  </w:r>
                  <w:r w:rsidR="008973E4">
                    <w:rPr>
                      <w:rFonts w:cs="Calibri"/>
                      <w:sz w:val="20"/>
                      <w:szCs w:val="20"/>
                    </w:rPr>
                    <w:t>.</w:t>
                  </w:r>
                  <w:r w:rsidR="004B63BE">
                    <w:t xml:space="preserve"> </w:t>
                  </w:r>
                  <w:r w:rsidR="004B63BE" w:rsidRPr="004B63BE">
                    <w:rPr>
                      <w:rFonts w:cs="Calibri"/>
                      <w:sz w:val="20"/>
                      <w:szCs w:val="20"/>
                    </w:rPr>
                    <w:t>Er is winst te behalen in de mate waarin havo-mbo overstappers worden overgedragen en op de overstap worden voorbereid</w:t>
                  </w:r>
                  <w:r w:rsidR="005818BF">
                    <w:rPr>
                      <w:rFonts w:cs="Calibri"/>
                      <w:sz w:val="20"/>
                      <w:szCs w:val="20"/>
                    </w:rPr>
                    <w:t xml:space="preserve">. Beter contact tussen </w:t>
                  </w:r>
                  <w:r w:rsidR="00E76C9A" w:rsidRPr="00E76C9A">
                    <w:rPr>
                      <w:rFonts w:cs="Calibri"/>
                      <w:sz w:val="20"/>
                      <w:szCs w:val="20"/>
                    </w:rPr>
                    <w:t xml:space="preserve">LOB-professionals op beide </w:t>
                  </w:r>
                  <w:r w:rsidR="005818BF">
                    <w:rPr>
                      <w:rFonts w:cs="Calibri"/>
                      <w:sz w:val="20"/>
                      <w:szCs w:val="20"/>
                    </w:rPr>
                    <w:t>schooltypen kan er</w:t>
                  </w:r>
                  <w:r w:rsidR="004B63BE">
                    <w:rPr>
                      <w:rFonts w:cs="Calibri"/>
                      <w:sz w:val="20"/>
                      <w:szCs w:val="20"/>
                    </w:rPr>
                    <w:t xml:space="preserve"> daarnaast </w:t>
                  </w:r>
                  <w:r w:rsidR="005818BF">
                    <w:rPr>
                      <w:rFonts w:cs="Calibri"/>
                      <w:sz w:val="20"/>
                      <w:szCs w:val="20"/>
                    </w:rPr>
                    <w:t>voor zorgen dat sneller ge</w:t>
                  </w:r>
                  <w:r w:rsidR="00E76C9A" w:rsidRPr="00E76C9A">
                    <w:rPr>
                      <w:rFonts w:cs="Calibri"/>
                      <w:sz w:val="20"/>
                      <w:szCs w:val="20"/>
                    </w:rPr>
                    <w:t>signaleer</w:t>
                  </w:r>
                  <w:r w:rsidR="005818BF">
                    <w:rPr>
                      <w:rFonts w:cs="Calibri"/>
                      <w:sz w:val="20"/>
                      <w:szCs w:val="20"/>
                    </w:rPr>
                    <w:t>d</w:t>
                  </w:r>
                  <w:r w:rsidR="00E76C9A" w:rsidRPr="00E76C9A">
                    <w:rPr>
                      <w:rFonts w:cs="Calibri"/>
                      <w:sz w:val="20"/>
                      <w:szCs w:val="20"/>
                    </w:rPr>
                    <w:t xml:space="preserve"> </w:t>
                  </w:r>
                  <w:r w:rsidR="005818BF">
                    <w:rPr>
                      <w:rFonts w:cs="Calibri"/>
                      <w:sz w:val="20"/>
                      <w:szCs w:val="20"/>
                    </w:rPr>
                    <w:t xml:space="preserve">wordt </w:t>
                  </w:r>
                  <w:r w:rsidR="00E76C9A" w:rsidRPr="00E76C9A">
                    <w:rPr>
                      <w:rFonts w:cs="Calibri"/>
                      <w:sz w:val="20"/>
                      <w:szCs w:val="20"/>
                    </w:rPr>
                    <w:t xml:space="preserve">of een leerling beter past op het mbo. Dit voorkomt onnodige </w:t>
                  </w:r>
                  <w:r w:rsidR="00294EA7">
                    <w:rPr>
                      <w:rFonts w:cs="Calibri"/>
                      <w:sz w:val="20"/>
                      <w:szCs w:val="20"/>
                    </w:rPr>
                    <w:t>frustratie</w:t>
                  </w:r>
                  <w:r w:rsidR="00E76C9A" w:rsidRPr="00E76C9A">
                    <w:rPr>
                      <w:rFonts w:cs="Calibri"/>
                      <w:sz w:val="20"/>
                      <w:szCs w:val="20"/>
                    </w:rPr>
                    <w:t xml:space="preserve"> bij de leerling</w:t>
                  </w:r>
                  <w:r w:rsidR="00294EA7">
                    <w:rPr>
                      <w:rFonts w:cs="Calibri"/>
                      <w:sz w:val="20"/>
                      <w:szCs w:val="20"/>
                    </w:rPr>
                    <w:t xml:space="preserve"> en diens omgeving. </w:t>
                  </w:r>
                </w:p>
                <w:p w14:paraId="1605592E" w14:textId="77777777" w:rsidR="00743718" w:rsidRPr="00743718" w:rsidRDefault="00743718" w:rsidP="007179D9">
                  <w:pPr>
                    <w:framePr w:hSpace="142" w:wrap="around" w:vAnchor="text" w:hAnchor="page" w:x="4842" w:y="675"/>
                    <w:widowControl w:val="0"/>
                    <w:autoSpaceDE w:val="0"/>
                    <w:autoSpaceDN w:val="0"/>
                    <w:adjustRightInd w:val="0"/>
                    <w:ind w:left="311" w:right="113"/>
                    <w:textAlignment w:val="center"/>
                    <w:rPr>
                      <w:rFonts w:cs="Calibri"/>
                      <w:i/>
                      <w:iCs/>
                      <w:sz w:val="20"/>
                      <w:szCs w:val="20"/>
                    </w:rPr>
                  </w:pPr>
                  <w:r w:rsidRPr="00743718">
                    <w:rPr>
                      <w:rFonts w:cs="Calibri"/>
                      <w:i/>
                      <w:iCs/>
                      <w:sz w:val="20"/>
                      <w:szCs w:val="20"/>
                    </w:rPr>
                    <w:t> </w:t>
                  </w:r>
                </w:p>
              </w:tc>
            </w:tr>
          </w:tbl>
          <w:p w14:paraId="487D971F" w14:textId="77777777" w:rsidR="006073A3" w:rsidRPr="006073A3" w:rsidRDefault="006073A3" w:rsidP="00815EC1">
            <w:pPr>
              <w:widowControl w:val="0"/>
              <w:autoSpaceDE w:val="0"/>
              <w:autoSpaceDN w:val="0"/>
              <w:adjustRightInd w:val="0"/>
              <w:ind w:left="165" w:right="113"/>
              <w:textAlignment w:val="center"/>
              <w:rPr>
                <w:rFonts w:cs="Calibri"/>
                <w:i/>
                <w:iCs/>
                <w:sz w:val="20"/>
                <w:szCs w:val="20"/>
              </w:rPr>
            </w:pPr>
            <w:r w:rsidRPr="006073A3">
              <w:rPr>
                <w:rFonts w:cs="Calibri"/>
                <w:i/>
                <w:iCs/>
                <w:sz w:val="20"/>
                <w:szCs w:val="20"/>
              </w:rPr>
              <w:lastRenderedPageBreak/>
              <w:t>Onderzoek wat werkt door leerlingen te volgen</w:t>
            </w:r>
          </w:p>
          <w:p w14:paraId="151B63B2" w14:textId="790E9623" w:rsidR="006073A3" w:rsidRPr="006073A3" w:rsidRDefault="006073A3" w:rsidP="00815EC1">
            <w:pPr>
              <w:widowControl w:val="0"/>
              <w:autoSpaceDE w:val="0"/>
              <w:autoSpaceDN w:val="0"/>
              <w:adjustRightInd w:val="0"/>
              <w:ind w:left="165" w:right="113"/>
              <w:textAlignment w:val="center"/>
              <w:rPr>
                <w:rFonts w:cs="Calibri"/>
                <w:sz w:val="20"/>
                <w:szCs w:val="20"/>
              </w:rPr>
            </w:pPr>
            <w:r w:rsidRPr="006073A3">
              <w:rPr>
                <w:rFonts w:cs="Calibri"/>
                <w:sz w:val="20"/>
                <w:szCs w:val="20"/>
              </w:rPr>
              <w:t>Scholen weten momenteel weinig over ongediplomeerde havo-uitvallers, een groep die groeit. Er is weinig bekend waarom leerlingen uitvallen en hoe hun studiesucces te vergroten in het mbo. Werk als scholen en begeleiders in het vo en mbo daarom samen om de loopbanen van deze specifieke overstappers te volgen.</w:t>
            </w:r>
            <w:r w:rsidR="00BE46CA">
              <w:rPr>
                <w:rFonts w:cs="Calibri"/>
                <w:sz w:val="20"/>
                <w:szCs w:val="20"/>
              </w:rPr>
              <w:t xml:space="preserve"> Dan kan hun begeleiding e.d. meer geïnformeerd worden vormgegeven. </w:t>
            </w:r>
          </w:p>
          <w:p w14:paraId="7C73AA13" w14:textId="6F3E6A36" w:rsidR="00743718" w:rsidRPr="00743718" w:rsidRDefault="00743718" w:rsidP="00F65058">
            <w:pPr>
              <w:widowControl w:val="0"/>
              <w:autoSpaceDE w:val="0"/>
              <w:autoSpaceDN w:val="0"/>
              <w:adjustRightInd w:val="0"/>
              <w:ind w:right="113"/>
              <w:textAlignment w:val="center"/>
              <w:rPr>
                <w:rFonts w:cs="Calibri"/>
                <w:sz w:val="20"/>
                <w:szCs w:val="20"/>
              </w:rPr>
            </w:pPr>
          </w:p>
          <w:p w14:paraId="35EA37E8" w14:textId="0E4A3833" w:rsidR="002C34EE" w:rsidRPr="000060A5" w:rsidRDefault="002C34EE" w:rsidP="00743718">
            <w:pPr>
              <w:widowControl w:val="0"/>
              <w:autoSpaceDE w:val="0"/>
              <w:autoSpaceDN w:val="0"/>
              <w:adjustRightInd w:val="0"/>
              <w:ind w:right="113"/>
              <w:textAlignment w:val="center"/>
              <w:rPr>
                <w:rFonts w:cs="Calibri"/>
                <w:sz w:val="20"/>
                <w:szCs w:val="20"/>
              </w:rPr>
            </w:pPr>
          </w:p>
        </w:tc>
      </w:tr>
    </w:tbl>
    <w:p w14:paraId="513E9AE1" w14:textId="3C4B34EF" w:rsidR="00B30C80" w:rsidRDefault="00B30C80"/>
    <w:sectPr w:rsidR="00B30C80" w:rsidSect="00D93FE9">
      <w:headerReference w:type="default" r:id="rId12"/>
      <w:headerReference w:type="first" r:id="rId13"/>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570C" w14:textId="77777777" w:rsidR="00BD0FF4" w:rsidRDefault="00BD0FF4" w:rsidP="006B7196">
      <w:r>
        <w:separator/>
      </w:r>
    </w:p>
  </w:endnote>
  <w:endnote w:type="continuationSeparator" w:id="0">
    <w:p w14:paraId="2C2C4C68" w14:textId="77777777" w:rsidR="00BD0FF4" w:rsidRDefault="00BD0FF4"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FE74" w14:textId="77777777" w:rsidR="00BD0FF4" w:rsidRDefault="00BD0FF4" w:rsidP="006B7196">
      <w:r>
        <w:separator/>
      </w:r>
    </w:p>
  </w:footnote>
  <w:footnote w:type="continuationSeparator" w:id="0">
    <w:p w14:paraId="34B07B90" w14:textId="77777777" w:rsidR="00BD0FF4" w:rsidRDefault="00BD0FF4" w:rsidP="006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7" name="Afbeelding 7"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8" name="Afbeelding 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16cid:durableId="1328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3AB9"/>
    <w:rsid w:val="000060A5"/>
    <w:rsid w:val="00015487"/>
    <w:rsid w:val="00016D8B"/>
    <w:rsid w:val="000518AD"/>
    <w:rsid w:val="000873B8"/>
    <w:rsid w:val="000874AB"/>
    <w:rsid w:val="000A294B"/>
    <w:rsid w:val="000B1BC8"/>
    <w:rsid w:val="000C3287"/>
    <w:rsid w:val="000D3146"/>
    <w:rsid w:val="00101562"/>
    <w:rsid w:val="00111C1C"/>
    <w:rsid w:val="00122422"/>
    <w:rsid w:val="00126490"/>
    <w:rsid w:val="0017165D"/>
    <w:rsid w:val="001C1DE5"/>
    <w:rsid w:val="00202790"/>
    <w:rsid w:val="0021127A"/>
    <w:rsid w:val="0026594A"/>
    <w:rsid w:val="00294EA7"/>
    <w:rsid w:val="002954E4"/>
    <w:rsid w:val="002B29C3"/>
    <w:rsid w:val="002C34EE"/>
    <w:rsid w:val="002C4D3C"/>
    <w:rsid w:val="002C7BEE"/>
    <w:rsid w:val="00315FE4"/>
    <w:rsid w:val="0033677A"/>
    <w:rsid w:val="0034519E"/>
    <w:rsid w:val="003560AC"/>
    <w:rsid w:val="00366A97"/>
    <w:rsid w:val="00367284"/>
    <w:rsid w:val="003A0F3A"/>
    <w:rsid w:val="003A5EB5"/>
    <w:rsid w:val="003C1CCA"/>
    <w:rsid w:val="00420F17"/>
    <w:rsid w:val="004260C6"/>
    <w:rsid w:val="00426D2B"/>
    <w:rsid w:val="00436958"/>
    <w:rsid w:val="004B4246"/>
    <w:rsid w:val="004B63BE"/>
    <w:rsid w:val="004E5A6C"/>
    <w:rsid w:val="00565A37"/>
    <w:rsid w:val="005818BF"/>
    <w:rsid w:val="00587F66"/>
    <w:rsid w:val="005A2947"/>
    <w:rsid w:val="005B1282"/>
    <w:rsid w:val="005E1496"/>
    <w:rsid w:val="005F37DA"/>
    <w:rsid w:val="005F7488"/>
    <w:rsid w:val="006073A3"/>
    <w:rsid w:val="0061413F"/>
    <w:rsid w:val="006414D8"/>
    <w:rsid w:val="00660CC8"/>
    <w:rsid w:val="00665287"/>
    <w:rsid w:val="006931BA"/>
    <w:rsid w:val="006B7196"/>
    <w:rsid w:val="006C5D45"/>
    <w:rsid w:val="006D26D4"/>
    <w:rsid w:val="007179D9"/>
    <w:rsid w:val="00743718"/>
    <w:rsid w:val="0074746D"/>
    <w:rsid w:val="007558D4"/>
    <w:rsid w:val="00777AE7"/>
    <w:rsid w:val="007B1820"/>
    <w:rsid w:val="007E1771"/>
    <w:rsid w:val="007E2203"/>
    <w:rsid w:val="007F72AD"/>
    <w:rsid w:val="00815EC1"/>
    <w:rsid w:val="00835959"/>
    <w:rsid w:val="008973E4"/>
    <w:rsid w:val="00897B5C"/>
    <w:rsid w:val="008B46CA"/>
    <w:rsid w:val="008B521C"/>
    <w:rsid w:val="008D4AA5"/>
    <w:rsid w:val="00902D38"/>
    <w:rsid w:val="00917E8D"/>
    <w:rsid w:val="00950C3F"/>
    <w:rsid w:val="009645D5"/>
    <w:rsid w:val="009A0B96"/>
    <w:rsid w:val="00A05966"/>
    <w:rsid w:val="00A1406C"/>
    <w:rsid w:val="00A17CC4"/>
    <w:rsid w:val="00A45287"/>
    <w:rsid w:val="00AA2CD0"/>
    <w:rsid w:val="00AF02A3"/>
    <w:rsid w:val="00B30C80"/>
    <w:rsid w:val="00B32B0A"/>
    <w:rsid w:val="00B61619"/>
    <w:rsid w:val="00B63B81"/>
    <w:rsid w:val="00BA2593"/>
    <w:rsid w:val="00BD0FF4"/>
    <w:rsid w:val="00BD55C8"/>
    <w:rsid w:val="00BD6D53"/>
    <w:rsid w:val="00BE0FA4"/>
    <w:rsid w:val="00BE173F"/>
    <w:rsid w:val="00BE46CA"/>
    <w:rsid w:val="00C06C9B"/>
    <w:rsid w:val="00C14482"/>
    <w:rsid w:val="00C411B8"/>
    <w:rsid w:val="00C70901"/>
    <w:rsid w:val="00C8412A"/>
    <w:rsid w:val="00C85A41"/>
    <w:rsid w:val="00CD4E83"/>
    <w:rsid w:val="00CF15FF"/>
    <w:rsid w:val="00D2170F"/>
    <w:rsid w:val="00D535A8"/>
    <w:rsid w:val="00D62C6C"/>
    <w:rsid w:val="00D709DB"/>
    <w:rsid w:val="00D870C1"/>
    <w:rsid w:val="00D93FE9"/>
    <w:rsid w:val="00DB168D"/>
    <w:rsid w:val="00DB3ED2"/>
    <w:rsid w:val="00DF0BD6"/>
    <w:rsid w:val="00E030AE"/>
    <w:rsid w:val="00E06B15"/>
    <w:rsid w:val="00E162FE"/>
    <w:rsid w:val="00E2347B"/>
    <w:rsid w:val="00E76C9A"/>
    <w:rsid w:val="00EB3AE0"/>
    <w:rsid w:val="00F157B8"/>
    <w:rsid w:val="00F22678"/>
    <w:rsid w:val="00F329FC"/>
    <w:rsid w:val="00F5352C"/>
    <w:rsid w:val="00F65058"/>
    <w:rsid w:val="00F71186"/>
    <w:rsid w:val="00F8065B"/>
    <w:rsid w:val="00F9233E"/>
    <w:rsid w:val="00FA0FB8"/>
    <w:rsid w:val="00FB7453"/>
    <w:rsid w:val="00FD1471"/>
    <w:rsid w:val="00FD3FA1"/>
    <w:rsid w:val="00FF052F"/>
    <w:rsid w:val="00FF5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semiHidden/>
    <w:unhideWhenUsed/>
    <w:rsid w:val="00E06B15"/>
    <w:rPr>
      <w:sz w:val="20"/>
      <w:szCs w:val="20"/>
    </w:rPr>
  </w:style>
  <w:style w:type="character" w:customStyle="1" w:styleId="TekstopmerkingChar">
    <w:name w:val="Tekst opmerking Char"/>
    <w:link w:val="Tekstopmerking"/>
    <w:uiPriority w:val="99"/>
    <w:semiHidden/>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B32B0A"/>
    <w:rPr>
      <w:color w:val="0563C1" w:themeColor="hyperlink"/>
      <w:u w:val="single"/>
    </w:rPr>
  </w:style>
  <w:style w:type="character" w:styleId="Onopgelostemelding">
    <w:name w:val="Unresolved Mention"/>
    <w:basedOn w:val="Standaardalinea-lettertype"/>
    <w:uiPriority w:val="99"/>
    <w:semiHidden/>
    <w:unhideWhenUsed/>
    <w:rsid w:val="00B32B0A"/>
    <w:rPr>
      <w:color w:val="605E5C"/>
      <w:shd w:val="clear" w:color="auto" w:fill="E1DFDD"/>
    </w:rPr>
  </w:style>
  <w:style w:type="character" w:styleId="GevolgdeHyperlink">
    <w:name w:val="FollowedHyperlink"/>
    <w:basedOn w:val="Standaardalinea-lettertype"/>
    <w:uiPriority w:val="99"/>
    <w:semiHidden/>
    <w:unhideWhenUsed/>
    <w:rsid w:val="00B32B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documenten/rapporten/2025/11/05/bijlage-10-de-beroepshavo-verkennend-onderzoe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0969732794BA28EA5AE9F66C1C2" ma:contentTypeVersion="11" ma:contentTypeDescription="Een nieuw document maken." ma:contentTypeScope="" ma:versionID="09646c4bd0c75894fcd2cf98bffffde5">
  <xsd:schema xmlns:xsd="http://www.w3.org/2001/XMLSchema" xmlns:xs="http://www.w3.org/2001/XMLSchema" xmlns:p="http://schemas.microsoft.com/office/2006/metadata/properties" xmlns:ns3="c661e113-a73f-4ac1-b846-603f5e61922d" xmlns:ns4="4f749a49-9e93-4fac-9e77-db147108166b" targetNamespace="http://schemas.microsoft.com/office/2006/metadata/properties" ma:root="true" ma:fieldsID="163372880c3d16cab8043fd8950d35a4" ns3:_="" ns4:_="">
    <xsd:import namespace="c661e113-a73f-4ac1-b846-603f5e61922d"/>
    <xsd:import namespace="4f749a49-9e93-4fac-9e77-db147108166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e113-a73f-4ac1-b846-603f5e6192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9a49-9e93-4fac-9e77-db147108166b"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3DF5E-C9C4-4122-B9F4-D41CC40F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e113-a73f-4ac1-b846-603f5e61922d"/>
    <ds:schemaRef ds:uri="4f749a49-9e93-4fac-9e77-db147108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1C574-8AED-430C-B4A3-ED7E03FEF40E}">
  <ds:schemaRefs>
    <ds:schemaRef ds:uri="http://schemas.openxmlformats.org/officeDocument/2006/bibliography"/>
  </ds:schemaRefs>
</ds:datastoreItem>
</file>

<file path=customXml/itemProps4.xml><?xml version="1.0" encoding="utf-8"?>
<ds:datastoreItem xmlns:ds="http://schemas.openxmlformats.org/officeDocument/2006/customXml" ds:itemID="{BBEC277D-9189-45CE-8182-6EA60EFA9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4817</Characters>
  <Application>Microsoft Office Word</Application>
  <DocSecurity>4</DocSecurity>
  <Lines>86</Lines>
  <Paragraphs>19</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Kleijngeld</dc:creator>
  <cp:keywords/>
  <dc:description/>
  <cp:lastModifiedBy>Cindy van Rooijen</cp:lastModifiedBy>
  <cp:revision>2</cp:revision>
  <cp:lastPrinted>2020-04-23T07:45:00Z</cp:lastPrinted>
  <dcterms:created xsi:type="dcterms:W3CDTF">2026-03-16T13:26:00Z</dcterms:created>
  <dcterms:modified xsi:type="dcterms:W3CDTF">2026-03-16T13:26:00Z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0x010100E29890969732794BA28EA5AE9F66C1C2</vt:lpwstr>
  </property>
</Properties>
</file>