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5616E5B6" w:rsidR="003F15B5" w:rsidRPr="00962703" w:rsidRDefault="00701359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431322" wp14:editId="6296214A">
            <wp:simplePos x="0" y="0"/>
            <wp:positionH relativeFrom="column">
              <wp:posOffset>-339379</wp:posOffset>
            </wp:positionH>
            <wp:positionV relativeFrom="paragraph">
              <wp:posOffset>116</wp:posOffset>
            </wp:positionV>
            <wp:extent cx="2548890" cy="1274445"/>
            <wp:effectExtent l="0" t="0" r="381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26E05992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1FA64FCA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1359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7777777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6DD724B6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1359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4120C0A2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1359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77777777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77777777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6144DD0E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1359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69637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4322DD49" w:rsidR="0036279C" w:rsidRPr="00F46716" w:rsidRDefault="0069637C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7272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69637C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69637C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77777777" w:rsidR="0036279C" w:rsidRPr="00F46716" w:rsidRDefault="0069637C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1FA64FCA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01359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7777777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6DD724B6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01359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4120C0A2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01359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77777777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77777777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6144DD0E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01359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907272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4322DD49" w:rsidR="0036279C" w:rsidRPr="00F46716" w:rsidRDefault="00907272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907272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907272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77777777" w:rsidR="0036279C" w:rsidRPr="00F46716" w:rsidRDefault="00907272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2F533EBC" w:rsidR="00A1793F" w:rsidRPr="0012570A" w:rsidRDefault="00907272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>Regionale aanpak online oriënteren op het mbo</w:t>
            </w:r>
          </w:p>
          <w:p w14:paraId="1748B30E" w14:textId="4667B64D" w:rsidR="003F701B" w:rsidRPr="00322FD1" w:rsidRDefault="00907272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>Denken vanuit de leerling om voortijdig schoolverlaten te voorkomen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70C5035E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52E7709C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B5C013A" w14:textId="444CEC8B" w:rsidR="00701359" w:rsidRP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701359">
              <w:rPr>
                <w:rFonts w:cs="Calibri-Bold"/>
                <w:bCs/>
                <w:sz w:val="20"/>
                <w:szCs w:val="20"/>
              </w:rPr>
              <w:t xml:space="preserve">In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regio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Eem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vanuit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Aanpak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Pr="00701359">
              <w:rPr>
                <w:rFonts w:cs="Calibri-Bold"/>
                <w:b/>
                <w:sz w:val="20"/>
                <w:szCs w:val="20"/>
              </w:rPr>
              <w:t>VSV</w:t>
            </w:r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Eemland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website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ontwikkeld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(</w:t>
            </w:r>
            <w:hyperlink r:id="rId12" w:history="1">
              <w:r w:rsidRPr="008B513F">
                <w:rPr>
                  <w:rStyle w:val="Hyperlink"/>
                  <w:rFonts w:cs="Calibri-Bold"/>
                  <w:bCs/>
                  <w:sz w:val="20"/>
                  <w:szCs w:val="20"/>
                </w:rPr>
                <w:t>www.lobeemland.nl</w:t>
              </w:r>
            </w:hyperlink>
            <w:r>
              <w:rPr>
                <w:rFonts w:cs="Calibri-Bold"/>
                <w:bCs/>
                <w:sz w:val="20"/>
                <w:szCs w:val="20"/>
              </w:rPr>
              <w:t xml:space="preserve"> )</w:t>
            </w:r>
            <w:r w:rsidRPr="00701359">
              <w:rPr>
                <w:rFonts w:cs="Calibri-Bold"/>
                <w:bCs/>
                <w:sz w:val="20"/>
                <w:szCs w:val="20"/>
              </w:rPr>
              <w:t xml:space="preserve"> om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ondersteunen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oriënteren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vervolgopleiding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in het mbo en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goed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beeld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mee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geven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mogelijke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beroepen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</w:t>
            </w:r>
          </w:p>
          <w:p w14:paraId="4E5C84A9" w14:textId="56258089" w:rsidR="007A7102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701359">
              <w:rPr>
                <w:rFonts w:cs="Calibri-Bold"/>
                <w:bCs/>
                <w:sz w:val="20"/>
                <w:szCs w:val="20"/>
              </w:rPr>
              <w:t xml:space="preserve">LOBeemland.nl is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onderdeel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van het project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Versterken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loopbaanontwikkeling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en -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begeleiding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(LOB) in het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vmbo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samenwerking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met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arbeidsmarkt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en het mbo. Dir project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maakt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deel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uit van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programmalijn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Aansluiting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vmbo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-mbo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binnen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het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regionaal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programma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voorkomen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voortijdig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schoolverlaten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77C0EC2C" w14:textId="77777777" w:rsid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7AE0FCCD" w14:textId="77777777" w:rsid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4CF2E6B1" wp14:editId="27475776">
                  <wp:simplePos x="0" y="0"/>
                  <wp:positionH relativeFrom="column">
                    <wp:posOffset>109278</wp:posOffset>
                  </wp:positionH>
                  <wp:positionV relativeFrom="paragraph">
                    <wp:posOffset>-1674</wp:posOffset>
                  </wp:positionV>
                  <wp:extent cx="2718955" cy="1810290"/>
                  <wp:effectExtent l="0" t="0" r="5715" b="0"/>
                  <wp:wrapTight wrapText="bothSides">
                    <wp:wrapPolygon edited="0">
                      <wp:start x="0" y="0"/>
                      <wp:lineTo x="0" y="21373"/>
                      <wp:lineTo x="21494" y="21373"/>
                      <wp:lineTo x="21494" y="0"/>
                      <wp:lineTo x="0" y="0"/>
                    </wp:wrapPolygon>
                  </wp:wrapTight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955" cy="181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E93B937" w14:textId="77777777" w:rsid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701359">
              <w:rPr>
                <w:rFonts w:cs="Calibri-Bold"/>
                <w:bCs/>
                <w:sz w:val="20"/>
                <w:szCs w:val="20"/>
              </w:rPr>
              <w:t xml:space="preserve">Met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als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uitgangspunt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om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vanuit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denken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, is het online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voorlichtingsmateriaal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verschillende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mbo-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scholen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in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regio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ingedeeld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in mbo-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richtingen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Zo is het voor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zichtbaar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welke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mbo-opleidingen in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bepaalde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richting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vallen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welke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mbo’s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de opleidingen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worden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aangeboden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7FADB98B" w14:textId="77777777" w:rsid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416BEF39" w14:textId="77777777" w:rsidR="00701359" w:rsidRP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Tevens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van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mbo’s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alle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actuele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open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dagen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informatieavonden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andere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oriëntatie-activiteiten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opgenomen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duidelijk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overzicht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Via LOBeemland.nl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oriënteren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alle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(online)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oriëntatiemogelijkheden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de mbo-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instellingen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</w:t>
            </w:r>
          </w:p>
          <w:p w14:paraId="64C543E9" w14:textId="77777777" w:rsidR="00701359" w:rsidRP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Daarnaast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zij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op LOBeemland.nl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inschrijven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voor twee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regionale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bovenschoolse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LOB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activiteiten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, die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gericht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goed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beeld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beroepen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: </w:t>
            </w:r>
          </w:p>
          <w:p w14:paraId="7ECB2931" w14:textId="77777777" w:rsidR="00701359" w:rsidRP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701359">
              <w:rPr>
                <w:rFonts w:cs="Calibri-Bold"/>
                <w:bCs/>
                <w:sz w:val="20"/>
                <w:szCs w:val="20"/>
              </w:rPr>
              <w:t xml:space="preserve">1.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LOB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bedrijfsbezoek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schrijven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individueel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in voor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interactief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bezoek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lastRenderedPageBreak/>
              <w:t>bedrijf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branche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die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belangstelling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heeft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Zo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zij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zicht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op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werkplekken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afdelingen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waar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later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gaan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werken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 </w:t>
            </w:r>
          </w:p>
          <w:p w14:paraId="52F83E0D" w14:textId="77777777" w:rsidR="00701359" w:rsidRP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Tijdens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de (online) LOB-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bedrijfsbezoeken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gaan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verschillende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vmbo-scholen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op pad en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samen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bezoeken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twee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bedrijven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die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binnen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interessegebied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vallen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18715F4D" w14:textId="77777777" w:rsidR="00701359" w:rsidRPr="0070135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701359">
              <w:rPr>
                <w:rFonts w:cs="Calibri-Bold"/>
                <w:bCs/>
                <w:sz w:val="20"/>
                <w:szCs w:val="20"/>
              </w:rPr>
              <w:t xml:space="preserve">2. Het LOB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loopbaanevenement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Dit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evenement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van 3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vmbo-scholen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samen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Tijdens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het (online)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loopbaanevenement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nemen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samen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ouder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>(s)/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verzorger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(s)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deel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(online)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voorlichtingen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verschillende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beroepen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Daarnaast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gaan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via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speeddates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gesprek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beroepsprofessionals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over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beroep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. </w:t>
            </w:r>
          </w:p>
          <w:p w14:paraId="49CA3238" w14:textId="5061DA00" w:rsidR="00701359" w:rsidRPr="001D6D29" w:rsidRDefault="00701359" w:rsidP="00701359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701359">
              <w:rPr>
                <w:rFonts w:cs="Calibri-Bold"/>
                <w:bCs/>
                <w:sz w:val="20"/>
                <w:szCs w:val="20"/>
              </w:rPr>
              <w:t xml:space="preserve">Per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activiteit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is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lespakket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ontwikkeld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voor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gedegen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voorbereiding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701359">
              <w:rPr>
                <w:rFonts w:cs="Calibri-Bold"/>
                <w:bCs/>
                <w:sz w:val="20"/>
                <w:szCs w:val="20"/>
              </w:rPr>
              <w:t>terugblik</w:t>
            </w:r>
            <w:proofErr w:type="spellEnd"/>
            <w:r w:rsidRPr="00701359">
              <w:rPr>
                <w:rFonts w:cs="Calibri-Bold"/>
                <w:bCs/>
                <w:sz w:val="20"/>
                <w:szCs w:val="20"/>
              </w:rPr>
              <w:t>.</w:t>
            </w: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3757F1CD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036906EA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CAE49EB" w14:textId="12182A5F" w:rsidR="0036279C" w:rsidRPr="003772A8" w:rsidRDefault="00701359" w:rsidP="00701359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01359">
              <w:rPr>
                <w:rFonts w:ascii="Calibri" w:hAnsi="Calibri" w:cs="Calibri"/>
                <w:sz w:val="20"/>
                <w:szCs w:val="20"/>
              </w:rPr>
              <w:t xml:space="preserve">Door het beschikbare voorlichtingsmateriaal van de verschillende mbo-scholen, de oriëntatiemogelijkheden en de </w:t>
            </w:r>
            <w:proofErr w:type="spellStart"/>
            <w:r w:rsidRPr="00701359">
              <w:rPr>
                <w:rFonts w:ascii="Calibri" w:hAnsi="Calibri" w:cs="Calibri"/>
                <w:sz w:val="20"/>
                <w:szCs w:val="20"/>
              </w:rPr>
              <w:t>bovenschoolse</w:t>
            </w:r>
            <w:proofErr w:type="spellEnd"/>
            <w:r w:rsidRPr="00701359">
              <w:rPr>
                <w:rFonts w:ascii="Calibri" w:hAnsi="Calibri" w:cs="Calibri"/>
                <w:sz w:val="20"/>
                <w:szCs w:val="20"/>
              </w:rPr>
              <w:t xml:space="preserve"> LOB-activiteiten op een centrale plek te verzamelen dient de website als hub voor de oriënterende leerling in de regio. Hiermee </w:t>
            </w:r>
            <w:r>
              <w:rPr>
                <w:rFonts w:ascii="Calibri" w:hAnsi="Calibri" w:cs="Calibri"/>
                <w:sz w:val="20"/>
                <w:szCs w:val="20"/>
              </w:rPr>
              <w:t>wordt bijgedragen</w:t>
            </w:r>
            <w:r w:rsidRPr="00701359">
              <w:rPr>
                <w:rFonts w:ascii="Calibri" w:hAnsi="Calibri" w:cs="Calibri"/>
                <w:sz w:val="20"/>
                <w:szCs w:val="20"/>
              </w:rPr>
              <w:t xml:space="preserve"> aan het maken van passende keuzes voor een vmbo-profiel en voor een vervolgopleiding op het mbo.  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8C37459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FED2" w14:textId="6E5839BC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A62837B" w14:textId="0B0E9955" w:rsidR="00907272" w:rsidRPr="00907272" w:rsidRDefault="00907272" w:rsidP="009072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hyperlink r:id="rId14" w:history="1">
              <w:r w:rsidRPr="008B513F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https://lobeemland.nl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59633A8" w14:textId="5CAB344C" w:rsidR="00492392" w:rsidRDefault="00701359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701359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Daniël Kers,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projectleider </w:t>
            </w:r>
            <w:r w:rsidRPr="00701359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Pr="008B513F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d.kers@meridiaan-college.nl</w:t>
              </w:r>
            </w:hyperlink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  <w:p w14:paraId="5CA192BD" w14:textId="2F023096" w:rsidR="00701359" w:rsidRPr="005E45CE" w:rsidRDefault="00701359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701359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Karen </w:t>
            </w:r>
            <w:proofErr w:type="spellStart"/>
            <w:r w:rsidRPr="00701359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Molhoek</w:t>
            </w:r>
            <w:proofErr w:type="spellEnd"/>
            <w:r w:rsidRPr="00701359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projectleider </w:t>
            </w:r>
            <w:r w:rsidRPr="00701359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8B513F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k.molhoek@rocmn.nl</w:t>
              </w:r>
            </w:hyperlink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C5358E" w14:textId="602972D5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0E148039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1E5B6F62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6B13F664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36D4C09B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27037BB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7"/>
      <w:footerReference w:type="even" r:id="rId18"/>
      <w:footerReference w:type="default" r:id="rId19"/>
      <w:headerReference w:type="first" r:id="rId20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EBED2" w14:textId="77777777" w:rsidR="00161721" w:rsidRDefault="00161721" w:rsidP="00367101">
      <w:r>
        <w:separator/>
      </w:r>
    </w:p>
  </w:endnote>
  <w:endnote w:type="continuationSeparator" w:id="0">
    <w:p w14:paraId="78FB6503" w14:textId="77777777" w:rsidR="00161721" w:rsidRDefault="00161721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D7F4" w14:textId="77777777" w:rsidR="00161721" w:rsidRDefault="00161721" w:rsidP="00367101">
      <w:r>
        <w:separator/>
      </w:r>
    </w:p>
  </w:footnote>
  <w:footnote w:type="continuationSeparator" w:id="0">
    <w:p w14:paraId="6B375898" w14:textId="77777777" w:rsidR="00161721" w:rsidRDefault="00161721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853BA"/>
    <w:rsid w:val="00094C91"/>
    <w:rsid w:val="000C413E"/>
    <w:rsid w:val="000D449F"/>
    <w:rsid w:val="000F4ECC"/>
    <w:rsid w:val="0012570A"/>
    <w:rsid w:val="00126382"/>
    <w:rsid w:val="00136A5F"/>
    <w:rsid w:val="001505D4"/>
    <w:rsid w:val="00157C7A"/>
    <w:rsid w:val="00161721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322FD1"/>
    <w:rsid w:val="00347A93"/>
    <w:rsid w:val="0036088C"/>
    <w:rsid w:val="0036279C"/>
    <w:rsid w:val="00367101"/>
    <w:rsid w:val="003772A8"/>
    <w:rsid w:val="00383555"/>
    <w:rsid w:val="003B7496"/>
    <w:rsid w:val="003E252A"/>
    <w:rsid w:val="003F15B5"/>
    <w:rsid w:val="003F701B"/>
    <w:rsid w:val="00400D3F"/>
    <w:rsid w:val="00407F2B"/>
    <w:rsid w:val="0048585F"/>
    <w:rsid w:val="00492392"/>
    <w:rsid w:val="004D0134"/>
    <w:rsid w:val="004D61EB"/>
    <w:rsid w:val="005001A6"/>
    <w:rsid w:val="00514BFE"/>
    <w:rsid w:val="005256CC"/>
    <w:rsid w:val="00531CFE"/>
    <w:rsid w:val="005569BE"/>
    <w:rsid w:val="00564E0D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665CF"/>
    <w:rsid w:val="0069637C"/>
    <w:rsid w:val="006A5C59"/>
    <w:rsid w:val="006E7A69"/>
    <w:rsid w:val="006F7ED3"/>
    <w:rsid w:val="00701359"/>
    <w:rsid w:val="00715F37"/>
    <w:rsid w:val="0074483C"/>
    <w:rsid w:val="007676CB"/>
    <w:rsid w:val="007A7102"/>
    <w:rsid w:val="007D138D"/>
    <w:rsid w:val="007D2139"/>
    <w:rsid w:val="008068CA"/>
    <w:rsid w:val="00851CBD"/>
    <w:rsid w:val="008926A5"/>
    <w:rsid w:val="008958A1"/>
    <w:rsid w:val="008A5542"/>
    <w:rsid w:val="008C0954"/>
    <w:rsid w:val="008D31CE"/>
    <w:rsid w:val="00907272"/>
    <w:rsid w:val="00962703"/>
    <w:rsid w:val="00966D80"/>
    <w:rsid w:val="009729E9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47FD"/>
    <w:rsid w:val="00A67304"/>
    <w:rsid w:val="00A931D3"/>
    <w:rsid w:val="00AD0EAB"/>
    <w:rsid w:val="00AD7081"/>
    <w:rsid w:val="00B045DC"/>
    <w:rsid w:val="00B30B08"/>
    <w:rsid w:val="00B61206"/>
    <w:rsid w:val="00B70B74"/>
    <w:rsid w:val="00BB4918"/>
    <w:rsid w:val="00BC5094"/>
    <w:rsid w:val="00C17500"/>
    <w:rsid w:val="00C54ED1"/>
    <w:rsid w:val="00C731C0"/>
    <w:rsid w:val="00C8060A"/>
    <w:rsid w:val="00C826FA"/>
    <w:rsid w:val="00C83A3E"/>
    <w:rsid w:val="00CD73A2"/>
    <w:rsid w:val="00CF2D5D"/>
    <w:rsid w:val="00D436FE"/>
    <w:rsid w:val="00D43782"/>
    <w:rsid w:val="00E64A76"/>
    <w:rsid w:val="00E67E6B"/>
    <w:rsid w:val="00E70A2C"/>
    <w:rsid w:val="00E81BCF"/>
    <w:rsid w:val="00EC36D7"/>
    <w:rsid w:val="00ED2FAC"/>
    <w:rsid w:val="00EF0DBD"/>
    <w:rsid w:val="00EF769C"/>
    <w:rsid w:val="00F15E61"/>
    <w:rsid w:val="00F31917"/>
    <w:rsid w:val="00F43B53"/>
    <w:rsid w:val="00F46716"/>
    <w:rsid w:val="00F469DC"/>
    <w:rsid w:val="00F658C1"/>
    <w:rsid w:val="00F76267"/>
    <w:rsid w:val="00FA116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obeemland.n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.molhoek@rocmn.n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.kers@meridiaan-college.n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beemland.n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3" ma:contentTypeDescription="Een nieuw document maken." ma:contentTypeScope="" ma:versionID="5f3c3ab2a4f7c424ffe0699828505a8b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d926f29f7663c8c7c280677ae52ee136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9E6ED-0441-40AE-B292-A4C860967863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5883bc27-05c0-464e-85c0-2feb4c96e1a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a4f6c19-02a1-498a-a2d0-647364df9f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78EEF-EFCB-4253-A205-7E8780BC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2</TotalTime>
  <Pages>2</Pages>
  <Words>461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2</cp:revision>
  <dcterms:created xsi:type="dcterms:W3CDTF">2021-01-06T12:22:00Z</dcterms:created>
  <dcterms:modified xsi:type="dcterms:W3CDTF">2021-01-06T12:22:00Z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0x01010087C8E2E16DBDD14A92D8AE9AC895BA49</vt:lpwstr>
  </property>
</Properties>
</file>