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8717" w14:textId="01A2BCE2" w:rsidR="00A05B54" w:rsidRDefault="00A05B54" w:rsidP="00A05B54">
      <w:pPr>
        <w:rPr>
          <w:b/>
          <w:bCs/>
          <w:sz w:val="20"/>
          <w:szCs w:val="20"/>
        </w:rPr>
      </w:pPr>
      <w:r>
        <w:rPr>
          <w:rFonts w:ascii="Arial" w:hAnsi="Arial"/>
          <w:noProof/>
          <w:sz w:val="20"/>
          <w:szCs w:val="20"/>
        </w:rPr>
        <w:drawing>
          <wp:anchor distT="0" distB="0" distL="114300" distR="114300" simplePos="0" relativeHeight="251664896" behindDoc="0" locked="0" layoutInCell="1" allowOverlap="1" wp14:anchorId="668F68D4" wp14:editId="48D81C02">
            <wp:simplePos x="0" y="0"/>
            <wp:positionH relativeFrom="margin">
              <wp:posOffset>7546340</wp:posOffset>
            </wp:positionH>
            <wp:positionV relativeFrom="margin">
              <wp:posOffset>-330200</wp:posOffset>
            </wp:positionV>
            <wp:extent cx="899795" cy="49911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4991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5" w:type="dxa"/>
        <w:tblLayout w:type="fixed"/>
        <w:tblLook w:val="0000" w:firstRow="0" w:lastRow="0" w:firstColumn="0" w:lastColumn="0" w:noHBand="0" w:noVBand="0"/>
      </w:tblPr>
      <w:tblGrid>
        <w:gridCol w:w="1985"/>
        <w:gridCol w:w="11765"/>
      </w:tblGrid>
      <w:tr w:rsidR="007017AB" w14:paraId="0C381162" w14:textId="77777777" w:rsidTr="005B4475">
        <w:trPr>
          <w:trHeight w:val="851"/>
          <w:tblHeader/>
        </w:trPr>
        <w:tc>
          <w:tcPr>
            <w:tcW w:w="13750" w:type="dxa"/>
            <w:gridSpan w:val="2"/>
            <w:tcBorders>
              <w:top w:val="single" w:sz="12" w:space="0" w:color="069999" w:themeColor="accent2"/>
              <w:left w:val="single" w:sz="12" w:space="0" w:color="069999" w:themeColor="accent2"/>
              <w:bottom w:val="single" w:sz="12" w:space="0" w:color="FFFFFF" w:themeColor="background1"/>
              <w:right w:val="single" w:sz="12" w:space="0" w:color="069999" w:themeColor="accent2"/>
            </w:tcBorders>
            <w:shd w:val="clear" w:color="auto" w:fill="069999" w:themeFill="accent2"/>
            <w:vAlign w:val="center"/>
          </w:tcPr>
          <w:p w14:paraId="36CDB225" w14:textId="68E919E1" w:rsidR="007017AB" w:rsidRDefault="007017AB" w:rsidP="007017AB">
            <w:pPr>
              <w:pStyle w:val="Lijstalinea1"/>
              <w:spacing w:after="0" w:line="100" w:lineRule="atLeast"/>
              <w:ind w:left="1166"/>
              <w:rPr>
                <w:sz w:val="20"/>
                <w:szCs w:val="20"/>
              </w:rPr>
            </w:pPr>
            <w:r w:rsidRPr="00403E29">
              <w:rPr>
                <w:rFonts w:ascii="Arial" w:hAnsi="Arial"/>
                <w:noProof/>
                <w:sz w:val="20"/>
                <w:szCs w:val="20"/>
              </w:rPr>
              <w:drawing>
                <wp:anchor distT="0" distB="0" distL="114300" distR="114300" simplePos="0" relativeHeight="251674112" behindDoc="0" locked="0" layoutInCell="1" allowOverlap="1" wp14:anchorId="1B05B613" wp14:editId="554750A1">
                  <wp:simplePos x="0" y="0"/>
                  <wp:positionH relativeFrom="column">
                    <wp:posOffset>-48895</wp:posOffset>
                  </wp:positionH>
                  <wp:positionV relativeFrom="paragraph">
                    <wp:posOffset>-681990</wp:posOffset>
                  </wp:positionV>
                  <wp:extent cx="556895" cy="588010"/>
                  <wp:effectExtent l="38100" t="38100" r="33655" b="4064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21178570">
                            <a:off x="0" y="0"/>
                            <a:ext cx="556895" cy="588010"/>
                          </a:xfrm>
                          <a:prstGeom prst="rect">
                            <a:avLst/>
                          </a:prstGeom>
                        </pic:spPr>
                      </pic:pic>
                    </a:graphicData>
                  </a:graphic>
                  <wp14:sizeRelH relativeFrom="margin">
                    <wp14:pctWidth>0</wp14:pctWidth>
                  </wp14:sizeRelH>
                  <wp14:sizeRelV relativeFrom="margin">
                    <wp14:pctHeight>0</wp14:pctHeight>
                  </wp14:sizeRelV>
                </wp:anchor>
              </w:drawing>
            </w:r>
            <w:r w:rsidRPr="00A05B54">
              <w:rPr>
                <w:rFonts w:ascii="Century Schoolbook" w:hAnsi="Century Schoolbook"/>
                <w:b/>
                <w:bCs/>
                <w:color w:val="FFFFFF" w:themeColor="background1"/>
                <w:sz w:val="28"/>
                <w:szCs w:val="28"/>
              </w:rPr>
              <w:t xml:space="preserve">Voorbeeld werksessie: </w:t>
            </w:r>
            <w:r w:rsidR="00871968" w:rsidRPr="00871968">
              <w:rPr>
                <w:rFonts w:ascii="Century Schoolbook" w:hAnsi="Century Schoolbook"/>
                <w:b/>
                <w:bCs/>
                <w:color w:val="FFFFFF" w:themeColor="background1"/>
                <w:sz w:val="28"/>
                <w:szCs w:val="28"/>
              </w:rPr>
              <w:t>Studenten op weg helpen met LOB  (1,5 uur)</w:t>
            </w:r>
          </w:p>
        </w:tc>
      </w:tr>
      <w:tr w:rsidR="005B4475" w14:paraId="3658BB2E"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517985F8"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Voorbereiding </w:t>
            </w:r>
          </w:p>
        </w:tc>
        <w:tc>
          <w:tcPr>
            <w:tcW w:w="11765" w:type="dxa"/>
            <w:tcBorders>
              <w:top w:val="single" w:sz="12" w:space="0" w:color="FFFFFF" w:themeColor="background1"/>
              <w:left w:val="nil"/>
              <w:bottom w:val="single" w:sz="12" w:space="0" w:color="069999" w:themeColor="accent2"/>
              <w:right w:val="single" w:sz="12" w:space="0" w:color="069999" w:themeColor="accent2"/>
            </w:tcBorders>
            <w:shd w:val="clear" w:color="auto" w:fill="auto"/>
          </w:tcPr>
          <w:p w14:paraId="0F4D40EC" w14:textId="77777777" w:rsidR="00C32366" w:rsidRPr="00C32366" w:rsidRDefault="00C32366" w:rsidP="00C32366">
            <w:pPr>
              <w:pStyle w:val="Lijstalinea1"/>
              <w:numPr>
                <w:ilvl w:val="0"/>
                <w:numId w:val="14"/>
              </w:numPr>
              <w:spacing w:after="0" w:line="100" w:lineRule="atLeast"/>
              <w:rPr>
                <w:rFonts w:ascii="Century Schoolbook" w:hAnsi="Century Schoolbook"/>
                <w:sz w:val="20"/>
                <w:szCs w:val="20"/>
              </w:rPr>
            </w:pPr>
            <w:r w:rsidRPr="00C32366">
              <w:rPr>
                <w:rFonts w:ascii="Century Schoolbook" w:hAnsi="Century Schoolbook"/>
                <w:sz w:val="20"/>
                <w:szCs w:val="20"/>
              </w:rPr>
              <w:t>Tool uitprinten op groot formaat.</w:t>
            </w:r>
          </w:p>
          <w:p w14:paraId="529EEF8C" w14:textId="21C0648B" w:rsidR="00A05B54" w:rsidRPr="007017AB" w:rsidRDefault="00C32366" w:rsidP="00C32366">
            <w:pPr>
              <w:pStyle w:val="Lijstalinea1"/>
              <w:numPr>
                <w:ilvl w:val="0"/>
                <w:numId w:val="14"/>
              </w:numPr>
              <w:spacing w:after="0" w:line="100" w:lineRule="atLeast"/>
              <w:rPr>
                <w:rFonts w:ascii="Century Schoolbook" w:hAnsi="Century Schoolbook"/>
              </w:rPr>
            </w:pPr>
            <w:r w:rsidRPr="00C32366">
              <w:rPr>
                <w:rFonts w:ascii="Century Schoolbook" w:hAnsi="Century Schoolbook"/>
                <w:sz w:val="20"/>
                <w:szCs w:val="20"/>
              </w:rPr>
              <w:t xml:space="preserve">Eventueel de tool vooraf rondmailen aan deelnemers.  </w:t>
            </w:r>
          </w:p>
        </w:tc>
      </w:tr>
      <w:tr w:rsidR="00A05B54" w14:paraId="3F1C9D65"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0511AE14"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Doelen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0C110626" w14:textId="77777777" w:rsidR="00224A1C" w:rsidRPr="00224A1C" w:rsidRDefault="00224A1C" w:rsidP="00224A1C">
            <w:pPr>
              <w:pStyle w:val="Lijstalinea1"/>
              <w:numPr>
                <w:ilvl w:val="0"/>
                <w:numId w:val="14"/>
              </w:numPr>
              <w:spacing w:after="0" w:line="100" w:lineRule="atLeast"/>
              <w:rPr>
                <w:rFonts w:ascii="Century Schoolbook" w:hAnsi="Century Schoolbook"/>
                <w:sz w:val="20"/>
                <w:szCs w:val="20"/>
              </w:rPr>
            </w:pPr>
            <w:r w:rsidRPr="00224A1C">
              <w:rPr>
                <w:rFonts w:ascii="Century Schoolbook" w:hAnsi="Century Schoolbook"/>
                <w:sz w:val="20"/>
                <w:szCs w:val="20"/>
              </w:rPr>
              <w:t xml:space="preserve">Inventariseren van bestaande en gewenste werkwijzen op de 4 thema's </w:t>
            </w:r>
          </w:p>
          <w:p w14:paraId="7D68F8C5" w14:textId="04259083" w:rsidR="00A05B54" w:rsidRPr="007017AB" w:rsidRDefault="00224A1C" w:rsidP="00224A1C">
            <w:pPr>
              <w:pStyle w:val="Lijstalinea1"/>
              <w:numPr>
                <w:ilvl w:val="0"/>
                <w:numId w:val="14"/>
              </w:numPr>
              <w:spacing w:after="0" w:line="100" w:lineRule="atLeast"/>
              <w:rPr>
                <w:rFonts w:ascii="Century Schoolbook" w:hAnsi="Century Schoolbook"/>
              </w:rPr>
            </w:pPr>
            <w:r w:rsidRPr="00224A1C">
              <w:rPr>
                <w:rFonts w:ascii="Century Schoolbook" w:hAnsi="Century Schoolbook"/>
                <w:sz w:val="20"/>
                <w:szCs w:val="20"/>
              </w:rPr>
              <w:t xml:space="preserve">Prioriteiten, voornemens en/of acties benoemen  </w:t>
            </w:r>
          </w:p>
        </w:tc>
      </w:tr>
      <w:tr w:rsidR="0084554E" w14:paraId="482FFCEC"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47CF0109" w14:textId="77777777" w:rsidR="0084554E" w:rsidRPr="007017AB" w:rsidRDefault="0084554E" w:rsidP="0084554E">
            <w:pPr>
              <w:spacing w:after="0" w:line="100" w:lineRule="atLeast"/>
              <w:rPr>
                <w:rFonts w:ascii="Century Schoolbook" w:hAnsi="Century Schoolbook"/>
                <w:b/>
                <w:bCs/>
                <w:color w:val="FFFFFF" w:themeColor="background1"/>
                <w:sz w:val="20"/>
                <w:szCs w:val="20"/>
                <w:u w:val="single"/>
              </w:rPr>
            </w:pPr>
            <w:r w:rsidRPr="007017AB">
              <w:rPr>
                <w:rFonts w:ascii="Century Schoolbook" w:hAnsi="Century Schoolbook"/>
                <w:b/>
                <w:bCs/>
                <w:color w:val="FFFFFF" w:themeColor="background1"/>
                <w:sz w:val="20"/>
                <w:szCs w:val="20"/>
              </w:rPr>
              <w:t xml:space="preserve">Werkwijze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113D48CA"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u w:val="single"/>
              </w:rPr>
              <w:t>Introductie (10 min)</w:t>
            </w:r>
          </w:p>
          <w:p w14:paraId="771E33F6"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rPr>
              <w:t>Toelichten doel en werkwijze. Bijeenkomst verbinden aan bestaande visie / beleid, doelstellingen van het team of de school. Indien nodig starten met een korte kennismaking. Als iedereen elkaar al kent starten met de vraag ‘wie of wat heeft jou op weg geholpen in de eerste stappen in je loopbaan?'</w:t>
            </w:r>
          </w:p>
          <w:p w14:paraId="5CBC689D" w14:textId="77777777" w:rsidR="0084554E" w:rsidRPr="0084554E" w:rsidRDefault="0084554E" w:rsidP="0084554E">
            <w:pPr>
              <w:spacing w:after="0" w:line="100" w:lineRule="atLeast"/>
              <w:rPr>
                <w:rFonts w:ascii="Century Schoolbook" w:hAnsi="Century Schoolbook"/>
                <w:sz w:val="20"/>
                <w:szCs w:val="20"/>
              </w:rPr>
            </w:pPr>
          </w:p>
          <w:p w14:paraId="43063FCD"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u w:val="single"/>
              </w:rPr>
              <w:t>De praatplaat verkennen (20 min)</w:t>
            </w:r>
          </w:p>
          <w:p w14:paraId="61CA8379"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rPr>
              <w:t>Rustig toelichten van de praatplaat: vier thema's waarvan studenten in het mbo landelijk aangeven dat ze belangrijk zijn en een plekje verdienen in de opleiding. De vraag waar we vandaag mee bezig gaan is: wat doen we al goed en wat kunnen we nog meer doen om studenten optimaal op weg te helpen in hun loopbaan? Bij elk onderdeel van de poster kort bespreken:</w:t>
            </w:r>
          </w:p>
          <w:p w14:paraId="3122974B"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 xml:space="preserve">Wat wordt er bedoeld met dit thema? </w:t>
            </w:r>
          </w:p>
          <w:p w14:paraId="1712E606"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 xml:space="preserve">Op welke manier besteden we hier al aandacht aan in de opleiding?  </w:t>
            </w:r>
          </w:p>
          <w:p w14:paraId="4B0F3C7C"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Wat doen we nog niet, of nog te weinig?</w:t>
            </w:r>
          </w:p>
          <w:p w14:paraId="229045C1" w14:textId="77777777" w:rsidR="0084554E" w:rsidRPr="0084554E" w:rsidRDefault="0084554E" w:rsidP="0084554E">
            <w:pPr>
              <w:spacing w:after="0" w:line="100" w:lineRule="atLeast"/>
              <w:rPr>
                <w:rFonts w:ascii="Century Schoolbook" w:hAnsi="Century Schoolbook"/>
                <w:sz w:val="20"/>
                <w:szCs w:val="20"/>
              </w:rPr>
            </w:pPr>
          </w:p>
          <w:p w14:paraId="13D0B563"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u w:val="single"/>
              </w:rPr>
              <w:t>Toekomstwensen per thema benoemen (45 min)</w:t>
            </w:r>
          </w:p>
          <w:p w14:paraId="48CB5A40"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rPr>
              <w:t xml:space="preserve">In gesprek of in kleine groepjes in gesprek over de 4 thema's in de eigen opleiding. Groep 1 bespreekt thema 1, groep 2 bespreekt thema 2, enzovoorts.  Afhankelijk van het aantal collega's kan een groep ook meerdere thema's bespreken. Per thema ga je aan de slag met de volgende vragen: </w:t>
            </w:r>
          </w:p>
          <w:p w14:paraId="3C52276F"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Wat doen we al wat we zeker willen blijven doen?</w:t>
            </w:r>
          </w:p>
          <w:p w14:paraId="36BFB387"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Wat doen we waar we eigenlijk mee op kunnen houden?</w:t>
            </w:r>
          </w:p>
          <w:p w14:paraId="73571297"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Wat doen we nog niet maar willen we zeker mee beginnen?</w:t>
            </w:r>
          </w:p>
          <w:p w14:paraId="6E710ECF" w14:textId="77777777" w:rsidR="0084554E" w:rsidRPr="0084554E" w:rsidRDefault="0084554E" w:rsidP="0084554E">
            <w:pPr>
              <w:pStyle w:val="Lijstalinea1"/>
              <w:numPr>
                <w:ilvl w:val="0"/>
                <w:numId w:val="14"/>
              </w:numPr>
              <w:spacing w:after="0" w:line="100" w:lineRule="atLeast"/>
              <w:rPr>
                <w:rFonts w:ascii="Century Schoolbook" w:hAnsi="Century Schoolbook"/>
                <w:sz w:val="20"/>
                <w:szCs w:val="20"/>
              </w:rPr>
            </w:pPr>
            <w:r w:rsidRPr="0084554E">
              <w:rPr>
                <w:rFonts w:ascii="Century Schoolbook" w:hAnsi="Century Schoolbook"/>
                <w:sz w:val="20"/>
                <w:szCs w:val="20"/>
              </w:rPr>
              <w:t>Welke goede voorbeelden binnen of buiten de organisatie kennen we die we kunnen gebruiken?</w:t>
            </w:r>
          </w:p>
          <w:p w14:paraId="02520108" w14:textId="77777777" w:rsidR="0084554E" w:rsidRPr="0084554E" w:rsidRDefault="0084554E" w:rsidP="0084554E">
            <w:pPr>
              <w:spacing w:after="0" w:line="100" w:lineRule="atLeast"/>
              <w:rPr>
                <w:rFonts w:ascii="Century Schoolbook" w:hAnsi="Century Schoolbook"/>
                <w:sz w:val="20"/>
                <w:szCs w:val="20"/>
              </w:rPr>
            </w:pPr>
          </w:p>
          <w:p w14:paraId="1EFE3DB1"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rPr>
              <w:t>Zorg dat er na groepswerk genoeg tijd overblijft om ideeën uit te wisselen.</w:t>
            </w:r>
          </w:p>
          <w:p w14:paraId="1A91621B" w14:textId="0D11C434" w:rsidR="0084554E" w:rsidRDefault="0084554E" w:rsidP="0084554E">
            <w:pPr>
              <w:spacing w:after="0" w:line="100" w:lineRule="atLeast"/>
              <w:rPr>
                <w:rFonts w:ascii="Century Schoolbook" w:hAnsi="Century Schoolbook"/>
                <w:sz w:val="20"/>
                <w:szCs w:val="20"/>
              </w:rPr>
            </w:pPr>
          </w:p>
          <w:p w14:paraId="7DA0AAF2" w14:textId="17CAFEA0" w:rsidR="0084554E" w:rsidRDefault="0084554E" w:rsidP="0084554E">
            <w:pPr>
              <w:spacing w:after="0" w:line="100" w:lineRule="atLeast"/>
              <w:rPr>
                <w:rFonts w:ascii="Century Schoolbook" w:hAnsi="Century Schoolbook"/>
                <w:sz w:val="20"/>
                <w:szCs w:val="20"/>
              </w:rPr>
            </w:pPr>
          </w:p>
          <w:p w14:paraId="61970B93" w14:textId="7AA4033B" w:rsidR="0084554E" w:rsidRDefault="0084554E" w:rsidP="0084554E">
            <w:pPr>
              <w:spacing w:after="0" w:line="100" w:lineRule="atLeast"/>
              <w:rPr>
                <w:rFonts w:ascii="Century Schoolbook" w:hAnsi="Century Schoolbook"/>
                <w:sz w:val="20"/>
                <w:szCs w:val="20"/>
              </w:rPr>
            </w:pPr>
          </w:p>
          <w:p w14:paraId="011CDFCE" w14:textId="77777777" w:rsidR="0084554E" w:rsidRPr="0084554E" w:rsidRDefault="0084554E" w:rsidP="0084554E">
            <w:pPr>
              <w:spacing w:after="0" w:line="100" w:lineRule="atLeast"/>
              <w:rPr>
                <w:rFonts w:ascii="Century Schoolbook" w:hAnsi="Century Schoolbook"/>
                <w:sz w:val="20"/>
                <w:szCs w:val="20"/>
              </w:rPr>
            </w:pPr>
          </w:p>
          <w:p w14:paraId="566D7621" w14:textId="77777777" w:rsidR="0084554E" w:rsidRPr="0084554E" w:rsidRDefault="0084554E" w:rsidP="0084554E">
            <w:pPr>
              <w:spacing w:after="0" w:line="100" w:lineRule="atLeast"/>
              <w:rPr>
                <w:rFonts w:ascii="Century Schoolbook" w:hAnsi="Century Schoolbook"/>
                <w:sz w:val="20"/>
                <w:szCs w:val="20"/>
              </w:rPr>
            </w:pPr>
            <w:r w:rsidRPr="0084554E">
              <w:rPr>
                <w:rFonts w:ascii="Century Schoolbook" w:hAnsi="Century Schoolbook"/>
                <w:sz w:val="20"/>
                <w:szCs w:val="20"/>
                <w:u w:val="single"/>
              </w:rPr>
              <w:lastRenderedPageBreak/>
              <w:t>Samenvatten en acties bepalen voor vervolg (15 min)</w:t>
            </w:r>
          </w:p>
          <w:p w14:paraId="4059C567" w14:textId="77777777" w:rsidR="0084554E" w:rsidRPr="0084554E" w:rsidRDefault="0084554E" w:rsidP="0084554E">
            <w:pPr>
              <w:pStyle w:val="Lijstalinea"/>
              <w:numPr>
                <w:ilvl w:val="0"/>
                <w:numId w:val="17"/>
              </w:numPr>
              <w:spacing w:after="0" w:line="100" w:lineRule="atLeast"/>
              <w:rPr>
                <w:rFonts w:ascii="Century Schoolbook" w:hAnsi="Century Schoolbook"/>
                <w:sz w:val="20"/>
                <w:szCs w:val="20"/>
              </w:rPr>
            </w:pPr>
            <w:r w:rsidRPr="0084554E">
              <w:rPr>
                <w:rFonts w:ascii="Century Schoolbook" w:hAnsi="Century Schoolbook"/>
                <w:sz w:val="20"/>
                <w:szCs w:val="20"/>
              </w:rPr>
              <w:t xml:space="preserve">Inventariseren prioriteiten, vervolgacties benoemen en afspraken maken. </w:t>
            </w:r>
          </w:p>
          <w:p w14:paraId="4EF6CC18" w14:textId="77777777" w:rsidR="0084554E" w:rsidRPr="0084554E" w:rsidRDefault="0084554E" w:rsidP="0084554E">
            <w:pPr>
              <w:pStyle w:val="Lijstalinea"/>
              <w:numPr>
                <w:ilvl w:val="0"/>
                <w:numId w:val="17"/>
              </w:numPr>
              <w:spacing w:after="0" w:line="100" w:lineRule="atLeast"/>
              <w:rPr>
                <w:rFonts w:ascii="Century Schoolbook" w:hAnsi="Century Schoolbook"/>
                <w:sz w:val="20"/>
                <w:szCs w:val="20"/>
              </w:rPr>
            </w:pPr>
            <w:r w:rsidRPr="0084554E">
              <w:rPr>
                <w:rFonts w:ascii="Century Schoolbook" w:hAnsi="Century Schoolbook"/>
                <w:sz w:val="20"/>
                <w:szCs w:val="20"/>
              </w:rPr>
              <w:t>Bespreek ook de mogelijkheid om de tool Studentwensen in te zetten, om ideeën op te halen bij de eigen studenten voordat je verder aan de slag gaat.</w:t>
            </w:r>
          </w:p>
          <w:p w14:paraId="4185E1B0" w14:textId="6475AB66" w:rsidR="0084554E" w:rsidRPr="0084554E" w:rsidRDefault="0084554E" w:rsidP="0084554E">
            <w:pPr>
              <w:spacing w:after="0" w:line="100" w:lineRule="atLeast"/>
              <w:rPr>
                <w:rFonts w:ascii="Century Schoolbook" w:hAnsi="Century Schoolbook"/>
                <w:sz w:val="20"/>
                <w:szCs w:val="20"/>
              </w:rPr>
            </w:pPr>
          </w:p>
        </w:tc>
      </w:tr>
      <w:tr w:rsidR="00A05B54" w14:paraId="5FAEB44A" w14:textId="77777777" w:rsidTr="005B4475">
        <w:tc>
          <w:tcPr>
            <w:tcW w:w="1985" w:type="dxa"/>
            <w:tcBorders>
              <w:top w:val="single" w:sz="12" w:space="0" w:color="FFFFFF" w:themeColor="background1"/>
              <w:left w:val="single" w:sz="12" w:space="0" w:color="069999" w:themeColor="accent2"/>
              <w:bottom w:val="single" w:sz="12" w:space="0" w:color="069999" w:themeColor="accent2"/>
            </w:tcBorders>
            <w:shd w:val="clear" w:color="auto" w:fill="069999" w:themeFill="accent2"/>
          </w:tcPr>
          <w:p w14:paraId="7406B75B"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lastRenderedPageBreak/>
              <w:t xml:space="preserve">Na afloop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64BA5B14" w14:textId="77777777" w:rsidR="008C3A5C" w:rsidRPr="008C3A5C" w:rsidRDefault="008C3A5C" w:rsidP="008C3A5C">
            <w:pPr>
              <w:spacing w:after="0" w:line="100" w:lineRule="atLeast"/>
              <w:rPr>
                <w:rFonts w:ascii="Century Schoolbook" w:hAnsi="Century Schoolbook"/>
                <w:sz w:val="20"/>
                <w:szCs w:val="20"/>
              </w:rPr>
            </w:pPr>
            <w:r w:rsidRPr="008C3A5C">
              <w:rPr>
                <w:rFonts w:ascii="Century Schoolbook" w:hAnsi="Century Schoolbook"/>
                <w:sz w:val="20"/>
                <w:szCs w:val="20"/>
              </w:rPr>
              <w:t xml:space="preserve">Deel een verslag en de gemaakte afspraken met het team. </w:t>
            </w:r>
          </w:p>
          <w:p w14:paraId="005F3631" w14:textId="5C450660" w:rsidR="00A05B54" w:rsidRPr="007017AB" w:rsidRDefault="008C3A5C" w:rsidP="008C3A5C">
            <w:pPr>
              <w:spacing w:after="0" w:line="100" w:lineRule="atLeast"/>
              <w:rPr>
                <w:rFonts w:ascii="Century Schoolbook" w:hAnsi="Century Schoolbook"/>
              </w:rPr>
            </w:pPr>
            <w:r w:rsidRPr="008C3A5C">
              <w:rPr>
                <w:rFonts w:ascii="Century Schoolbook" w:hAnsi="Century Schoolbook"/>
                <w:sz w:val="20"/>
                <w:szCs w:val="20"/>
              </w:rPr>
              <w:t>Zorg voor passende opvolging.</w:t>
            </w:r>
          </w:p>
        </w:tc>
      </w:tr>
    </w:tbl>
    <w:p w14:paraId="5CCC83CC" w14:textId="77777777" w:rsidR="00530677" w:rsidRDefault="00530677" w:rsidP="00A05B54"/>
    <w:sectPr w:rsidR="00530677" w:rsidSect="00A05B54">
      <w:headerReference w:type="even" r:id="rId10"/>
      <w:type w:val="continuous"/>
      <w:pgSz w:w="16838" w:h="11906" w:orient="landscape"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B5E8" w14:textId="77777777" w:rsidR="00A05B54" w:rsidRDefault="00A05B54">
      <w:r>
        <w:separator/>
      </w:r>
    </w:p>
    <w:p w14:paraId="127A57B5" w14:textId="77777777" w:rsidR="00A05B54" w:rsidRDefault="00A05B54"/>
    <w:p w14:paraId="7A8366BC" w14:textId="77777777" w:rsidR="00A05B54" w:rsidRDefault="00A05B54" w:rsidP="009036F7"/>
    <w:p w14:paraId="1E092C0A" w14:textId="77777777" w:rsidR="00A05B54" w:rsidRDefault="00A05B54"/>
    <w:p w14:paraId="60EB4B48" w14:textId="77777777" w:rsidR="00A05B54" w:rsidRDefault="00A05B54"/>
    <w:p w14:paraId="3DB3E638" w14:textId="77777777" w:rsidR="00A05B54" w:rsidRDefault="00A05B54"/>
    <w:p w14:paraId="3993BCC0" w14:textId="77777777" w:rsidR="00A05B54" w:rsidRDefault="00A05B54"/>
    <w:p w14:paraId="73BCD362" w14:textId="77777777" w:rsidR="00A05B54" w:rsidRDefault="00A05B54"/>
    <w:p w14:paraId="2E065B4D" w14:textId="77777777" w:rsidR="00A05B54" w:rsidRDefault="00A05B54"/>
    <w:p w14:paraId="44E966D3" w14:textId="77777777" w:rsidR="00A05B54" w:rsidRDefault="00A05B54" w:rsidP="00003B05"/>
  </w:endnote>
  <w:endnote w:type="continuationSeparator" w:id="0">
    <w:p w14:paraId="181113AF" w14:textId="77777777" w:rsidR="00A05B54" w:rsidRDefault="00A05B54">
      <w:r>
        <w:continuationSeparator/>
      </w:r>
    </w:p>
    <w:p w14:paraId="622CD938" w14:textId="77777777" w:rsidR="00A05B54" w:rsidRDefault="00A05B54"/>
    <w:p w14:paraId="6D961F78" w14:textId="77777777" w:rsidR="00A05B54" w:rsidRDefault="00A05B54" w:rsidP="009036F7"/>
    <w:p w14:paraId="33422E8A" w14:textId="77777777" w:rsidR="00A05B54" w:rsidRDefault="00A05B54"/>
    <w:p w14:paraId="0D002600" w14:textId="77777777" w:rsidR="00A05B54" w:rsidRDefault="00A05B54"/>
    <w:p w14:paraId="59BE7483" w14:textId="77777777" w:rsidR="00A05B54" w:rsidRDefault="00A05B54"/>
    <w:p w14:paraId="7A88AD5D" w14:textId="77777777" w:rsidR="00A05B54" w:rsidRDefault="00A05B54"/>
    <w:p w14:paraId="686FB893" w14:textId="77777777" w:rsidR="00A05B54" w:rsidRDefault="00A05B54"/>
    <w:p w14:paraId="2108DFE8" w14:textId="77777777" w:rsidR="00A05B54" w:rsidRDefault="00A05B54"/>
    <w:p w14:paraId="6C828E76" w14:textId="77777777" w:rsidR="00A05B54" w:rsidRDefault="00A05B54"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14C8" w14:textId="77777777" w:rsidR="00A05B54" w:rsidRDefault="00A05B54">
      <w:r>
        <w:separator/>
      </w:r>
    </w:p>
  </w:footnote>
  <w:footnote w:type="continuationSeparator" w:id="0">
    <w:p w14:paraId="17B8B6A6" w14:textId="77777777" w:rsidR="00A05B54" w:rsidRDefault="00A0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284"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2E8348A"/>
    <w:multiLevelType w:val="hybridMultilevel"/>
    <w:tmpl w:val="BB786D1C"/>
    <w:lvl w:ilvl="0" w:tplc="E8941134">
      <w:start w:val="1"/>
      <w:numFmt w:val="bullet"/>
      <w:lvlText w:val=""/>
      <w:lvlJc w:val="left"/>
      <w:pPr>
        <w:ind w:left="720" w:hanging="360"/>
      </w:pPr>
      <w:rPr>
        <w:rFonts w:ascii="Symbol" w:hAnsi="Symbol" w:hint="default"/>
        <w:color w:val="B73089"/>
        <w:w w:val="1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6"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6A1D25"/>
    <w:multiLevelType w:val="multilevel"/>
    <w:tmpl w:val="2ED040AE"/>
    <w:numStyleLink w:val="Stijl1"/>
  </w:abstractNum>
  <w:abstractNum w:abstractNumId="10"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5E5F2099"/>
    <w:multiLevelType w:val="multilevel"/>
    <w:tmpl w:val="CA64F1C8"/>
    <w:lvl w:ilvl="0">
      <w:start w:val="1"/>
      <w:numFmt w:val="bullet"/>
      <w:lvlText w:val=""/>
      <w:lvlJc w:val="left"/>
      <w:pPr>
        <w:tabs>
          <w:tab w:val="num" w:pos="0"/>
        </w:tabs>
        <w:ind w:left="720" w:hanging="360"/>
      </w:pPr>
      <w:rPr>
        <w:rFonts w:ascii="Symbol" w:hAnsi="Symbol" w:hint="default"/>
        <w:color w:val="B73089"/>
        <w:w w:val="100"/>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564601">
    <w:abstractNumId w:val="10"/>
  </w:num>
  <w:num w:numId="2" w16cid:durableId="1497116096">
    <w:abstractNumId w:val="7"/>
  </w:num>
  <w:num w:numId="3" w16cid:durableId="1416710008">
    <w:abstractNumId w:val="14"/>
  </w:num>
  <w:num w:numId="4" w16cid:durableId="527379736">
    <w:abstractNumId w:val="11"/>
  </w:num>
  <w:num w:numId="5" w16cid:durableId="715009209">
    <w:abstractNumId w:val="8"/>
  </w:num>
  <w:num w:numId="6" w16cid:durableId="1064834355">
    <w:abstractNumId w:val="6"/>
  </w:num>
  <w:num w:numId="7" w16cid:durableId="854423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417751">
    <w:abstractNumId w:val="12"/>
  </w:num>
  <w:num w:numId="9" w16cid:durableId="2015915294">
    <w:abstractNumId w:val="5"/>
  </w:num>
  <w:num w:numId="10" w16cid:durableId="2030980714">
    <w:abstractNumId w:val="9"/>
  </w:num>
  <w:num w:numId="11" w16cid:durableId="1711108744">
    <w:abstractNumId w:val="15"/>
  </w:num>
  <w:num w:numId="12" w16cid:durableId="84965206">
    <w:abstractNumId w:val="0"/>
  </w:num>
  <w:num w:numId="13" w16cid:durableId="48463384">
    <w:abstractNumId w:val="1"/>
  </w:num>
  <w:num w:numId="14" w16cid:durableId="1199195963">
    <w:abstractNumId w:val="13"/>
  </w:num>
  <w:num w:numId="15" w16cid:durableId="1343432533">
    <w:abstractNumId w:val="2"/>
  </w:num>
  <w:num w:numId="16" w16cid:durableId="591547352">
    <w:abstractNumId w:val="3"/>
  </w:num>
  <w:num w:numId="17" w16cid:durableId="5215554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54"/>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0F700C"/>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200666"/>
    <w:rsid w:val="00201D4D"/>
    <w:rsid w:val="00205AAD"/>
    <w:rsid w:val="00207CE5"/>
    <w:rsid w:val="0021073B"/>
    <w:rsid w:val="00224A1C"/>
    <w:rsid w:val="00225194"/>
    <w:rsid w:val="00230E16"/>
    <w:rsid w:val="00234DE1"/>
    <w:rsid w:val="00240F05"/>
    <w:rsid w:val="00243136"/>
    <w:rsid w:val="00244622"/>
    <w:rsid w:val="00251904"/>
    <w:rsid w:val="00254588"/>
    <w:rsid w:val="00257641"/>
    <w:rsid w:val="00262F15"/>
    <w:rsid w:val="002703B4"/>
    <w:rsid w:val="00276EF6"/>
    <w:rsid w:val="002829BA"/>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3229"/>
    <w:rsid w:val="00334B05"/>
    <w:rsid w:val="00336A88"/>
    <w:rsid w:val="00341448"/>
    <w:rsid w:val="00342497"/>
    <w:rsid w:val="003460FE"/>
    <w:rsid w:val="00354019"/>
    <w:rsid w:val="00354026"/>
    <w:rsid w:val="003666DE"/>
    <w:rsid w:val="00375E54"/>
    <w:rsid w:val="0038008F"/>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71CDD"/>
    <w:rsid w:val="0058466D"/>
    <w:rsid w:val="00587C59"/>
    <w:rsid w:val="005946FE"/>
    <w:rsid w:val="00595E76"/>
    <w:rsid w:val="005962EC"/>
    <w:rsid w:val="005A375B"/>
    <w:rsid w:val="005B1CEB"/>
    <w:rsid w:val="005B4475"/>
    <w:rsid w:val="005E71D4"/>
    <w:rsid w:val="005F3289"/>
    <w:rsid w:val="006054D8"/>
    <w:rsid w:val="00605A1B"/>
    <w:rsid w:val="006062F5"/>
    <w:rsid w:val="00645A0A"/>
    <w:rsid w:val="00646DBC"/>
    <w:rsid w:val="00671EC2"/>
    <w:rsid w:val="006750EF"/>
    <w:rsid w:val="00677464"/>
    <w:rsid w:val="006815E7"/>
    <w:rsid w:val="0069542C"/>
    <w:rsid w:val="006A57E6"/>
    <w:rsid w:val="006B184F"/>
    <w:rsid w:val="006C3099"/>
    <w:rsid w:val="006D2568"/>
    <w:rsid w:val="006D466A"/>
    <w:rsid w:val="006E343E"/>
    <w:rsid w:val="006F5F88"/>
    <w:rsid w:val="007017AB"/>
    <w:rsid w:val="00715170"/>
    <w:rsid w:val="00722B6C"/>
    <w:rsid w:val="00734815"/>
    <w:rsid w:val="0073488A"/>
    <w:rsid w:val="007369A9"/>
    <w:rsid w:val="007531EF"/>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54E"/>
    <w:rsid w:val="00845F9A"/>
    <w:rsid w:val="00852341"/>
    <w:rsid w:val="00860186"/>
    <w:rsid w:val="00865729"/>
    <w:rsid w:val="008711C9"/>
    <w:rsid w:val="00871968"/>
    <w:rsid w:val="008908FD"/>
    <w:rsid w:val="00894583"/>
    <w:rsid w:val="008A0496"/>
    <w:rsid w:val="008A5B00"/>
    <w:rsid w:val="008C111C"/>
    <w:rsid w:val="008C1378"/>
    <w:rsid w:val="008C3A5C"/>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9F2171"/>
    <w:rsid w:val="00A0346D"/>
    <w:rsid w:val="00A05B54"/>
    <w:rsid w:val="00A06AF3"/>
    <w:rsid w:val="00A11416"/>
    <w:rsid w:val="00A11BCB"/>
    <w:rsid w:val="00A314C5"/>
    <w:rsid w:val="00A41443"/>
    <w:rsid w:val="00A532A3"/>
    <w:rsid w:val="00A668E7"/>
    <w:rsid w:val="00AB2D69"/>
    <w:rsid w:val="00AD2B18"/>
    <w:rsid w:val="00AD3022"/>
    <w:rsid w:val="00AD5F22"/>
    <w:rsid w:val="00AE0E3C"/>
    <w:rsid w:val="00AF7B3E"/>
    <w:rsid w:val="00B21CC2"/>
    <w:rsid w:val="00B225F4"/>
    <w:rsid w:val="00B329C4"/>
    <w:rsid w:val="00B54AA2"/>
    <w:rsid w:val="00B5597F"/>
    <w:rsid w:val="00B610EA"/>
    <w:rsid w:val="00B81970"/>
    <w:rsid w:val="00B9054E"/>
    <w:rsid w:val="00B9448D"/>
    <w:rsid w:val="00B967C7"/>
    <w:rsid w:val="00BA5714"/>
    <w:rsid w:val="00BB1B5E"/>
    <w:rsid w:val="00BB7C41"/>
    <w:rsid w:val="00BD7F55"/>
    <w:rsid w:val="00BE035C"/>
    <w:rsid w:val="00BE20CE"/>
    <w:rsid w:val="00C02159"/>
    <w:rsid w:val="00C07B65"/>
    <w:rsid w:val="00C15561"/>
    <w:rsid w:val="00C21F6D"/>
    <w:rsid w:val="00C32366"/>
    <w:rsid w:val="00C33E18"/>
    <w:rsid w:val="00C4547F"/>
    <w:rsid w:val="00C5418F"/>
    <w:rsid w:val="00C71988"/>
    <w:rsid w:val="00C731D5"/>
    <w:rsid w:val="00C81B75"/>
    <w:rsid w:val="00C85E24"/>
    <w:rsid w:val="00C93BC8"/>
    <w:rsid w:val="00C94074"/>
    <w:rsid w:val="00CA00C7"/>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AE52F"/>
  <w15:chartTrackingRefBased/>
  <w15:docId w15:val="{158EE068-3386-467A-BAE4-52B0D9C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5B54"/>
    <w:pPr>
      <w:suppressAutoHyphens/>
      <w:spacing w:after="160" w:line="256" w:lineRule="auto"/>
    </w:pPr>
    <w:rPr>
      <w:rFonts w:ascii="Calibri" w:eastAsia="SimSun" w:hAnsi="Calibri" w:cs="Calibri"/>
      <w:sz w:val="22"/>
      <w:szCs w:val="22"/>
      <w:lang w:eastAsia="ar-SA"/>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paragraph" w:customStyle="1" w:styleId="Lijstalinea1">
    <w:name w:val="Lijstalinea1"/>
    <w:basedOn w:val="Standaard"/>
    <w:rsid w:val="00A05B54"/>
    <w:pPr>
      <w:ind w:left="720"/>
    </w:pPr>
  </w:style>
  <w:style w:type="character" w:customStyle="1" w:styleId="KoptekstChar">
    <w:name w:val="Koptekst Char"/>
    <w:basedOn w:val="Standaardalinea-lettertype"/>
    <w:link w:val="Koptekst"/>
    <w:uiPriority w:val="99"/>
    <w:rsid w:val="00A05B54"/>
    <w:rPr>
      <w:rFonts w:ascii="Calibri" w:eastAsia="SimSun" w:hAnsi="Calibri" w:cs="Calibri"/>
      <w:sz w:val="22"/>
      <w:szCs w:val="22"/>
      <w:lang w:eastAsia="ar-SA"/>
    </w:rPr>
  </w:style>
  <w:style w:type="character" w:customStyle="1" w:styleId="Opsommingstekens">
    <w:name w:val="Opsommingstekens"/>
    <w:rsid w:val="00AB2D69"/>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B73089"/>
      </a:accent1>
      <a:accent2>
        <a:srgbClr val="069999"/>
      </a:accent2>
      <a:accent3>
        <a:srgbClr val="063C91"/>
      </a:accent3>
      <a:accent4>
        <a:srgbClr val="62388E"/>
      </a:accent4>
      <a:accent5>
        <a:srgbClr val="51A9D9"/>
      </a:accent5>
      <a:accent6>
        <a:srgbClr val="FC960B"/>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7</cp:revision>
  <cp:lastPrinted>2006-06-26T19:27:00Z</cp:lastPrinted>
  <dcterms:created xsi:type="dcterms:W3CDTF">2022-09-21T09:14:00Z</dcterms:created>
  <dcterms:modified xsi:type="dcterms:W3CDTF">2022-09-21T09:17:00Z</dcterms:modified>
</cp:coreProperties>
</file>